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proofErr w:type="spellStart"/>
            <w:r w:rsidR="004B298C" w:rsidRPr="004B298C">
              <w:rPr>
                <w:rFonts w:ascii="Times New Roman" w:hAnsi="Times New Roman" w:cs="Times New Roman"/>
              </w:rPr>
              <w:t>Perception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2F7839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4B298C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PSYC4510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B7B87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9D2556" w:rsidRPr="009D2556">
        <w:rPr>
          <w:rFonts w:ascii="Times New Roman" w:eastAsia="Arial Unicode MS" w:hAnsi="Times New Roman" w:cs="Times New Roman"/>
          <w:bdr w:val="nil"/>
          <w:lang w:val="en-US"/>
        </w:rPr>
        <w:t>To examine the basics of sensation and perception.</w:t>
      </w:r>
    </w:p>
    <w:p w:rsidR="003B34FB" w:rsidRDefault="00C0041F" w:rsidP="003B34FB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biological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roots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sensation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perception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through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covering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various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theories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Cover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different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methodologies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findings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mainly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study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visual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auditory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perception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Explaining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subjective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experiences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interaction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between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perception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environmental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factors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Discussion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of how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we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take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sensory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information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from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our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environment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use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that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information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order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interact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with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our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environment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. Analysis of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applications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perceptual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processes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everyday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examples</w:t>
      </w:r>
      <w:proofErr w:type="spellEnd"/>
      <w:r w:rsidR="009D2556" w:rsidRPr="009D2556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3B34FB">
      <w:pP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4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10"/>
        <w:gridCol w:w="1809"/>
        <w:gridCol w:w="1809"/>
      </w:tblGrid>
      <w:tr w:rsidR="00D02693" w:rsidRPr="004B6220" w:rsidTr="000B56EC">
        <w:trPr>
          <w:trHeight w:val="471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D02693" w:rsidRPr="004B6220" w:rsidTr="000B56EC">
        <w:trPr>
          <w:trHeight w:val="464"/>
        </w:trPr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60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693" w:rsidRPr="004B6220" w:rsidRDefault="00D02693" w:rsidP="000B56EC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9D2556" w:rsidRPr="004B6220" w:rsidRDefault="009D2556" w:rsidP="009D2556">
      <w:pPr>
        <w:spacing w:before="240"/>
        <w:rPr>
          <w:rFonts w:ascii="Times" w:hAnsi="Times"/>
        </w:rPr>
      </w:pPr>
      <w:proofErr w:type="spellStart"/>
      <w:r w:rsidRPr="004B6220">
        <w:rPr>
          <w:rFonts w:ascii="Times" w:hAnsi="Times"/>
          <w:highlight w:val="white"/>
        </w:rPr>
        <w:t>Goldstein</w:t>
      </w:r>
      <w:proofErr w:type="spellEnd"/>
      <w:r w:rsidRPr="004B6220">
        <w:rPr>
          <w:rFonts w:ascii="Times" w:hAnsi="Times"/>
          <w:highlight w:val="white"/>
        </w:rPr>
        <w:t xml:space="preserve">, E. (2013). </w:t>
      </w:r>
      <w:proofErr w:type="spellStart"/>
      <w:r w:rsidRPr="004B6220">
        <w:rPr>
          <w:rFonts w:ascii="Times" w:hAnsi="Times"/>
          <w:highlight w:val="white"/>
        </w:rPr>
        <w:t>Sensation</w:t>
      </w:r>
      <w:proofErr w:type="spellEnd"/>
      <w:r w:rsidRPr="004B6220">
        <w:rPr>
          <w:rFonts w:ascii="Times" w:hAnsi="Times"/>
          <w:highlight w:val="white"/>
        </w:rPr>
        <w:t xml:space="preserve"> </w:t>
      </w:r>
      <w:proofErr w:type="spellStart"/>
      <w:r w:rsidRPr="004B6220">
        <w:rPr>
          <w:rFonts w:ascii="Times" w:hAnsi="Times"/>
          <w:highlight w:val="white"/>
        </w:rPr>
        <w:t>and</w:t>
      </w:r>
      <w:proofErr w:type="spellEnd"/>
      <w:r w:rsidRPr="004B6220">
        <w:rPr>
          <w:rFonts w:ascii="Times" w:hAnsi="Times"/>
          <w:highlight w:val="white"/>
        </w:rPr>
        <w:t xml:space="preserve"> </w:t>
      </w:r>
      <w:proofErr w:type="spellStart"/>
      <w:r w:rsidRPr="004B6220">
        <w:rPr>
          <w:rFonts w:ascii="Times" w:hAnsi="Times"/>
          <w:highlight w:val="white"/>
        </w:rPr>
        <w:t>perception</w:t>
      </w:r>
      <w:proofErr w:type="spellEnd"/>
      <w:r w:rsidRPr="004B6220">
        <w:rPr>
          <w:rFonts w:ascii="Times" w:hAnsi="Times"/>
          <w:highlight w:val="white"/>
        </w:rPr>
        <w:t xml:space="preserve">. </w:t>
      </w:r>
      <w:proofErr w:type="spellStart"/>
      <w:r w:rsidRPr="004B6220">
        <w:rPr>
          <w:rFonts w:ascii="Times" w:hAnsi="Times"/>
          <w:highlight w:val="white"/>
        </w:rPr>
        <w:t>Cengage</w:t>
      </w:r>
      <w:proofErr w:type="spellEnd"/>
      <w:r w:rsidRPr="004B6220">
        <w:rPr>
          <w:rFonts w:ascii="Times" w:hAnsi="Times"/>
          <w:highlight w:val="white"/>
        </w:rPr>
        <w:t xml:space="preserve"> Learning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9D2556" w:rsidRPr="002D28A0" w:rsidRDefault="009D2556" w:rsidP="009D2556">
            <w:proofErr w:type="spellStart"/>
            <w:r w:rsidRPr="002D28A0">
              <w:t>Introducing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the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objectives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and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content</w:t>
            </w:r>
            <w:proofErr w:type="spellEnd"/>
            <w:r w:rsidRPr="002D28A0">
              <w:t xml:space="preserve"> of </w:t>
            </w:r>
            <w:proofErr w:type="spellStart"/>
            <w:r w:rsidRPr="002D28A0">
              <w:t>the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lesson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9D2556" w:rsidRPr="002D28A0" w:rsidRDefault="009D2556" w:rsidP="009D2556">
            <w:proofErr w:type="spellStart"/>
            <w:r w:rsidRPr="002D28A0">
              <w:t>Theoretical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approaches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to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sensation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and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perception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9D2556" w:rsidRPr="002D28A0" w:rsidRDefault="009D2556" w:rsidP="009D2556">
            <w:proofErr w:type="spellStart"/>
            <w:r w:rsidRPr="002D28A0">
              <w:t>Research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methods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used</w:t>
            </w:r>
            <w:proofErr w:type="spellEnd"/>
            <w:r w:rsidRPr="002D28A0">
              <w:t xml:space="preserve"> in </w:t>
            </w:r>
            <w:proofErr w:type="spellStart"/>
            <w:r w:rsidRPr="002D28A0">
              <w:t>perception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studies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9D2556" w:rsidRPr="002D28A0" w:rsidRDefault="009D2556" w:rsidP="009D2556">
            <w:r w:rsidRPr="002D28A0">
              <w:t xml:space="preserve">Visual </w:t>
            </w:r>
            <w:proofErr w:type="spellStart"/>
            <w:r w:rsidRPr="002D28A0">
              <w:t>system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9D2556" w:rsidRPr="002D28A0" w:rsidRDefault="009D2556" w:rsidP="009D2556">
            <w:proofErr w:type="spellStart"/>
            <w:r w:rsidRPr="002D28A0">
              <w:t>Color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Perception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9D2556" w:rsidRPr="002D28A0" w:rsidRDefault="009D2556" w:rsidP="009D2556">
            <w:r w:rsidRPr="002D28A0">
              <w:t xml:space="preserve">Visual </w:t>
            </w:r>
            <w:proofErr w:type="spellStart"/>
            <w:r w:rsidRPr="002D28A0">
              <w:t>pattern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perception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9D2556" w:rsidRPr="002D28A0" w:rsidRDefault="009D2556" w:rsidP="009D2556">
            <w:proofErr w:type="spellStart"/>
            <w:r>
              <w:t>Midterm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9D2556" w:rsidRPr="002D28A0" w:rsidRDefault="009D2556" w:rsidP="009D2556">
            <w:proofErr w:type="spellStart"/>
            <w:r w:rsidRPr="002D28A0">
              <w:t>Auditory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Perception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9D2556" w:rsidRPr="002D28A0" w:rsidRDefault="009D2556" w:rsidP="009D2556">
            <w:proofErr w:type="spellStart"/>
            <w:r w:rsidRPr="002D28A0">
              <w:t>Auditory</w:t>
            </w:r>
            <w:proofErr w:type="spellEnd"/>
            <w:r w:rsidRPr="002D28A0">
              <w:t xml:space="preserve"> </w:t>
            </w:r>
            <w:proofErr w:type="spellStart"/>
            <w:r w:rsidRPr="002D28A0">
              <w:t>Perception</w:t>
            </w:r>
            <w:proofErr w:type="spellEnd"/>
            <w:r w:rsidRPr="002D28A0">
              <w:t xml:space="preserve"> 2</w:t>
            </w:r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10.</w:t>
            </w:r>
          </w:p>
        </w:tc>
        <w:tc>
          <w:tcPr>
            <w:tcW w:w="7570" w:type="dxa"/>
          </w:tcPr>
          <w:p w:rsidR="009D2556" w:rsidRPr="002D28A0" w:rsidRDefault="009D2556" w:rsidP="009D2556">
            <w:proofErr w:type="spellStart"/>
            <w:r w:rsidRPr="002D28A0">
              <w:t>Perception</w:t>
            </w:r>
            <w:proofErr w:type="spellEnd"/>
            <w:r w:rsidRPr="002D28A0">
              <w:t xml:space="preserve"> of </w:t>
            </w:r>
            <w:proofErr w:type="spellStart"/>
            <w:r w:rsidRPr="002D28A0">
              <w:t>taste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9D2556" w:rsidRPr="002D28A0" w:rsidRDefault="009D2556" w:rsidP="009D2556">
            <w:proofErr w:type="spellStart"/>
            <w:r w:rsidRPr="002D28A0">
              <w:t>Perception</w:t>
            </w:r>
            <w:proofErr w:type="spellEnd"/>
            <w:r w:rsidRPr="002D28A0">
              <w:t xml:space="preserve"> of </w:t>
            </w:r>
            <w:proofErr w:type="spellStart"/>
            <w:r w:rsidRPr="002D28A0">
              <w:t>smell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9D2556" w:rsidRPr="002D28A0" w:rsidRDefault="009D2556" w:rsidP="009D2556">
            <w:proofErr w:type="spellStart"/>
            <w:r w:rsidRPr="002D28A0">
              <w:t>Perception</w:t>
            </w:r>
            <w:proofErr w:type="spellEnd"/>
            <w:r w:rsidRPr="002D28A0">
              <w:t xml:space="preserve"> of </w:t>
            </w:r>
            <w:proofErr w:type="spellStart"/>
            <w:r w:rsidRPr="002D28A0">
              <w:t>smell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9D2556" w:rsidRPr="002D28A0" w:rsidRDefault="009D2556" w:rsidP="009D2556">
            <w:proofErr w:type="spellStart"/>
            <w:r w:rsidRPr="002D28A0">
              <w:t>Perception</w:t>
            </w:r>
            <w:proofErr w:type="spellEnd"/>
            <w:r w:rsidRPr="002D28A0">
              <w:t xml:space="preserve"> of </w:t>
            </w:r>
            <w:proofErr w:type="spellStart"/>
            <w:r w:rsidRPr="002D28A0">
              <w:t>touch</w:t>
            </w:r>
            <w:proofErr w:type="spellEnd"/>
          </w:p>
        </w:tc>
      </w:tr>
      <w:tr w:rsidR="009D2556" w:rsidRPr="002522F3" w:rsidTr="00C0041F">
        <w:trPr>
          <w:trHeight w:val="412"/>
        </w:trPr>
        <w:tc>
          <w:tcPr>
            <w:tcW w:w="948" w:type="dxa"/>
          </w:tcPr>
          <w:p w:rsidR="009D2556" w:rsidRPr="002522F3" w:rsidRDefault="009D2556" w:rsidP="009D2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9D2556" w:rsidRDefault="009D2556" w:rsidP="009D2556">
            <w:proofErr w:type="spellStart"/>
            <w:r w:rsidRPr="002D28A0">
              <w:t>Perception</w:t>
            </w:r>
            <w:proofErr w:type="spellEnd"/>
            <w:r w:rsidRPr="002D28A0">
              <w:t xml:space="preserve"> of </w:t>
            </w:r>
            <w:proofErr w:type="spellStart"/>
            <w:r w:rsidRPr="002D28A0">
              <w:t>touch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3B34FB" w:rsidRDefault="009D2556" w:rsidP="009D25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9D2556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anatomical structure of the basic sense organs.</w:t>
      </w:r>
    </w:p>
    <w:p w:rsidR="009D2556" w:rsidRDefault="009D2556" w:rsidP="009D25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9D2556">
        <w:rPr>
          <w:rFonts w:ascii="Times New Roman" w:eastAsia="Arial Unicode MS" w:hAnsi="Times New Roman" w:cs="Times New Roman"/>
          <w:color w:val="000000"/>
          <w:bdr w:val="nil"/>
          <w:lang w:val="en-US"/>
        </w:rPr>
        <w:t>Explain the processes involved in auditory and visual perception.</w:t>
      </w:r>
    </w:p>
    <w:p w:rsidR="009D2556" w:rsidRDefault="009D2556" w:rsidP="009D25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9D2556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his/her subjective perceptual experiences in terms of theoretical approaches</w:t>
      </w:r>
    </w:p>
    <w:p w:rsidR="009D2556" w:rsidRDefault="009D2556" w:rsidP="009D2556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9D2556">
        <w:rPr>
          <w:rFonts w:ascii="Times New Roman" w:eastAsia="Arial Unicode MS" w:hAnsi="Times New Roman" w:cs="Times New Roman"/>
          <w:color w:val="000000"/>
          <w:bdr w:val="nil"/>
          <w:lang w:val="en-US"/>
        </w:rPr>
        <w:t>Explain the relationship between perception and environment.</w:t>
      </w:r>
    </w:p>
    <w:p w:rsidR="009D2556" w:rsidRPr="00D02693" w:rsidRDefault="009D2556" w:rsidP="009D2556">
      <w:pPr>
        <w:pStyle w:val="ListeParagraf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776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D06D88" w:rsidRPr="002522F3" w:rsidTr="00D06D88">
        <w:trPr>
          <w:trHeight w:val="412"/>
        </w:trPr>
        <w:tc>
          <w:tcPr>
            <w:tcW w:w="534" w:type="dxa"/>
          </w:tcPr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D06D88" w:rsidRDefault="00D06D88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D06D88" w:rsidRPr="002522F3" w:rsidRDefault="00D06D88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D06D88" w:rsidRPr="002522F3" w:rsidRDefault="00D06D88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9D2556" w:rsidRPr="009B4219" w:rsidRDefault="009D2556" w:rsidP="009D2556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9D2556" w:rsidRPr="009B4219" w:rsidRDefault="009D2556" w:rsidP="009D2556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9D2556" w:rsidRPr="009B4219" w:rsidRDefault="009D2556" w:rsidP="009D2556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9D2556" w:rsidRPr="009B4219" w:rsidRDefault="009D2556" w:rsidP="009D2556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9D2556" w:rsidRPr="009B4219" w:rsidRDefault="009D2556" w:rsidP="009D2556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9D2556" w:rsidRPr="009B4219" w:rsidRDefault="009D2556" w:rsidP="009D2556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9D2556" w:rsidRPr="009B4219" w:rsidRDefault="009D2556" w:rsidP="009D2556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9D2556" w:rsidRPr="009B4219" w:rsidRDefault="009D2556" w:rsidP="009D2556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9D2556" w:rsidRPr="009B4219" w:rsidRDefault="009D2556" w:rsidP="009D2556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9D2556" w:rsidRPr="009B4219" w:rsidRDefault="009D2556" w:rsidP="009D2556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9D2556" w:rsidRPr="009B4219" w:rsidRDefault="009D2556" w:rsidP="009D2556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9D2556" w:rsidRPr="002522F3" w:rsidTr="00D06D88">
        <w:trPr>
          <w:trHeight w:val="412"/>
        </w:trPr>
        <w:tc>
          <w:tcPr>
            <w:tcW w:w="534" w:type="dxa"/>
          </w:tcPr>
          <w:p w:rsidR="009D2556" w:rsidRPr="002522F3" w:rsidRDefault="009D2556" w:rsidP="009D2556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9D2556" w:rsidRDefault="009D2556" w:rsidP="009D2556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D2556" w:rsidRPr="004B6220" w:rsidRDefault="009D2556" w:rsidP="009D2556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F78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FF5B72" w:rsidRDefault="009D2556" w:rsidP="009D2556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9D2556" w:rsidRPr="002522F3" w:rsidTr="00BB7C4F">
        <w:trPr>
          <w:trHeight w:val="289"/>
        </w:trPr>
        <w:tc>
          <w:tcPr>
            <w:tcW w:w="1773" w:type="dxa"/>
          </w:tcPr>
          <w:p w:rsidR="009D2556" w:rsidRPr="00FF5B72" w:rsidRDefault="009D2556" w:rsidP="009D2556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20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FF5B72" w:rsidRDefault="009D2556" w:rsidP="009D2556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FF5B72" w:rsidRDefault="009D2556" w:rsidP="009D2556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FF5B72" w:rsidRDefault="009D2556" w:rsidP="009D2556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FF5B72" w:rsidRDefault="009D2556" w:rsidP="009D2556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FF5B72" w:rsidRDefault="009D2556" w:rsidP="009D2556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D2556" w:rsidRPr="002522F3" w:rsidTr="00BB7C4F">
        <w:trPr>
          <w:trHeight w:val="289"/>
        </w:trPr>
        <w:tc>
          <w:tcPr>
            <w:tcW w:w="1773" w:type="dxa"/>
          </w:tcPr>
          <w:p w:rsidR="009D2556" w:rsidRPr="00FF5B72" w:rsidRDefault="009D2556" w:rsidP="009D2556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25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25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FF5B72" w:rsidRDefault="009D2556" w:rsidP="009D2556">
            <w:r w:rsidRPr="00FF5B72">
              <w:t>Presentation</w:t>
            </w:r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FF5B72" w:rsidRDefault="009D2556" w:rsidP="009D2556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FF5B72" w:rsidRDefault="009D2556" w:rsidP="009D2556">
            <w:r w:rsidRPr="00FF5B72">
              <w:t>Project</w:t>
            </w:r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FF5B72" w:rsidRDefault="009D2556" w:rsidP="009D2556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D2556" w:rsidRPr="002522F3" w:rsidTr="00BB7C4F">
        <w:trPr>
          <w:trHeight w:val="289"/>
        </w:trPr>
        <w:tc>
          <w:tcPr>
            <w:tcW w:w="1773" w:type="dxa"/>
          </w:tcPr>
          <w:p w:rsidR="009D2556" w:rsidRPr="00FF5B72" w:rsidRDefault="009D2556" w:rsidP="009D2556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Default="009D2556" w:rsidP="009D2556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2522F3" w:rsidRDefault="009D2556" w:rsidP="009D2556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9D2556" w:rsidRPr="002522F3" w:rsidRDefault="009D2556" w:rsidP="009D2556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9D2556" w:rsidRDefault="009D2556" w:rsidP="009D2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129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2522F3" w:rsidRDefault="009D2556" w:rsidP="009D2556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9D2556" w:rsidRPr="002522F3" w:rsidRDefault="009D2556" w:rsidP="009D2556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9D2556" w:rsidRDefault="009D2556" w:rsidP="009D2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5.16</w:t>
            </w:r>
          </w:p>
        </w:tc>
      </w:tr>
      <w:tr w:rsidR="009D2556" w:rsidRPr="002522F3" w:rsidTr="00BB7C4F">
        <w:trPr>
          <w:trHeight w:val="301"/>
        </w:trPr>
        <w:tc>
          <w:tcPr>
            <w:tcW w:w="1773" w:type="dxa"/>
          </w:tcPr>
          <w:p w:rsidR="009D2556" w:rsidRPr="002522F3" w:rsidRDefault="009D2556" w:rsidP="009D2556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9D2556" w:rsidRPr="002522F3" w:rsidRDefault="009D2556" w:rsidP="009D2556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9D2556" w:rsidRDefault="009D2556" w:rsidP="009D2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9D2556" w:rsidRPr="004B6220" w:rsidRDefault="009D2556" w:rsidP="009D2556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E1AFF"/>
    <w:multiLevelType w:val="hybridMultilevel"/>
    <w:tmpl w:val="9FAAEC2E"/>
    <w:lvl w:ilvl="0" w:tplc="2D244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150D1D"/>
    <w:multiLevelType w:val="hybridMultilevel"/>
    <w:tmpl w:val="8BE67E22"/>
    <w:lvl w:ilvl="0" w:tplc="2D2440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11CCE"/>
    <w:rsid w:val="000D29C2"/>
    <w:rsid w:val="001B4375"/>
    <w:rsid w:val="001B561A"/>
    <w:rsid w:val="002522F3"/>
    <w:rsid w:val="00281C00"/>
    <w:rsid w:val="002A42DE"/>
    <w:rsid w:val="002F7839"/>
    <w:rsid w:val="003B34FB"/>
    <w:rsid w:val="00481F07"/>
    <w:rsid w:val="004B298C"/>
    <w:rsid w:val="004F0F3D"/>
    <w:rsid w:val="00505ADC"/>
    <w:rsid w:val="00506401"/>
    <w:rsid w:val="0050706C"/>
    <w:rsid w:val="00517EF3"/>
    <w:rsid w:val="005D5BF2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9D2556"/>
    <w:rsid w:val="00AE38A4"/>
    <w:rsid w:val="00B078A4"/>
    <w:rsid w:val="00BB7C4F"/>
    <w:rsid w:val="00C0041F"/>
    <w:rsid w:val="00C71B41"/>
    <w:rsid w:val="00CB6C93"/>
    <w:rsid w:val="00CF4A7B"/>
    <w:rsid w:val="00D02693"/>
    <w:rsid w:val="00D06D88"/>
    <w:rsid w:val="00D3422B"/>
    <w:rsid w:val="00D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  <w:style w:type="table" w:customStyle="1" w:styleId="TableNormal1">
    <w:name w:val="Table Normal1"/>
    <w:rsid w:val="00D0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2021-04-21T16:11:00Z</dcterms:created>
  <dcterms:modified xsi:type="dcterms:W3CDTF">2021-04-26T09:48:00Z</dcterms:modified>
</cp:coreProperties>
</file>