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proofErr w:type="spellStart"/>
            <w:r w:rsidR="00A4070E" w:rsidRPr="00A4070E">
              <w:rPr>
                <w:rFonts w:ascii="Times New Roman" w:hAnsi="Times New Roman" w:cs="Times New Roman"/>
              </w:rPr>
              <w:t>Neuropsychologial</w:t>
            </w:r>
            <w:proofErr w:type="spellEnd"/>
            <w:r w:rsidR="00A4070E" w:rsidRPr="00A407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070E" w:rsidRPr="00A4070E">
              <w:rPr>
                <w:rFonts w:ascii="Times New Roman" w:hAnsi="Times New Roman" w:cs="Times New Roman"/>
              </w:rPr>
              <w:t>Tests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1777C4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A4070E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PSYC4512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063E3A" w:rsidRDefault="00C0041F" w:rsidP="00063E3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4D7B8A" w:rsidRPr="004D7B8A">
        <w:rPr>
          <w:rFonts w:ascii="Times New Roman" w:eastAsia="Arial Unicode MS" w:hAnsi="Times New Roman" w:cs="Times New Roman"/>
          <w:bdr w:val="nil"/>
          <w:lang w:val="en-US"/>
        </w:rPr>
        <w:t>Examination of basic topics and test applications in neuropsychology.</w:t>
      </w:r>
    </w:p>
    <w:p w:rsidR="004D7B8A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basic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methods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approaches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neuropsychology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Explaining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neuropsychological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evaluation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steps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standardization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neuropsychological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tests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. Application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scoring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neuropsychological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tests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Explaining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cognitive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processes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related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neurological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structures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through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use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neuropsychological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tests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of a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comprehensive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understanding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of an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individual’s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strengths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impairments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customized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recommendations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for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therapy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treatments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educational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assistance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medications</w:t>
      </w:r>
      <w:proofErr w:type="spellEnd"/>
      <w:r w:rsidR="004D7B8A" w:rsidRPr="004D7B8A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4D7B8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4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809"/>
        <w:gridCol w:w="1809"/>
      </w:tblGrid>
      <w:tr w:rsidR="00D02693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  <w:color w:val="000000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D02693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4D7B8A" w:rsidRPr="004B6220" w:rsidRDefault="004D7B8A" w:rsidP="004D7B8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" w:hAnsi="Times"/>
          <w:color w:val="000000"/>
          <w:sz w:val="22"/>
          <w:szCs w:val="22"/>
          <w:lang w:val="tr-TR"/>
        </w:rPr>
      </w:pPr>
      <w:proofErr w:type="spellStart"/>
      <w:r w:rsidRPr="004B6220">
        <w:rPr>
          <w:rFonts w:ascii="Times" w:hAnsi="Times"/>
          <w:color w:val="000000"/>
          <w:sz w:val="22"/>
          <w:szCs w:val="22"/>
          <w:lang w:val="tr-TR"/>
        </w:rPr>
        <w:t>Lezak</w:t>
      </w:r>
      <w:proofErr w:type="spellEnd"/>
      <w:r w:rsidRPr="004B6220">
        <w:rPr>
          <w:rFonts w:ascii="Times" w:hAnsi="Times"/>
          <w:color w:val="000000"/>
          <w:sz w:val="22"/>
          <w:szCs w:val="22"/>
          <w:lang w:val="tr-TR"/>
        </w:rPr>
        <w:t>, M. D</w:t>
      </w:r>
      <w:proofErr w:type="gramStart"/>
      <w:r w:rsidRPr="004B6220">
        <w:rPr>
          <w:rFonts w:ascii="Times" w:hAnsi="Times"/>
          <w:color w:val="000000"/>
          <w:sz w:val="22"/>
          <w:szCs w:val="22"/>
          <w:lang w:val="tr-TR"/>
        </w:rPr>
        <w:t>.,</w:t>
      </w:r>
      <w:proofErr w:type="gramEnd"/>
      <w:r w:rsidRPr="004B6220">
        <w:rPr>
          <w:rFonts w:ascii="Times" w:hAnsi="Times"/>
          <w:color w:val="000000"/>
          <w:sz w:val="22"/>
          <w:szCs w:val="22"/>
          <w:lang w:val="tr-TR"/>
        </w:rPr>
        <w:t xml:space="preserve"> </w:t>
      </w:r>
      <w:proofErr w:type="spellStart"/>
      <w:r w:rsidRPr="004B6220">
        <w:rPr>
          <w:rFonts w:ascii="Times" w:hAnsi="Times"/>
          <w:color w:val="000000"/>
          <w:sz w:val="22"/>
          <w:szCs w:val="22"/>
          <w:lang w:val="tr-TR"/>
        </w:rPr>
        <w:t>Howieson</w:t>
      </w:r>
      <w:proofErr w:type="spellEnd"/>
      <w:r w:rsidRPr="004B6220">
        <w:rPr>
          <w:rFonts w:ascii="Times" w:hAnsi="Times"/>
          <w:color w:val="000000"/>
          <w:sz w:val="22"/>
          <w:szCs w:val="22"/>
          <w:lang w:val="tr-TR"/>
        </w:rPr>
        <w:t xml:space="preserve">, D. B., </w:t>
      </w:r>
      <w:proofErr w:type="spellStart"/>
      <w:r w:rsidRPr="004B6220">
        <w:rPr>
          <w:rFonts w:ascii="Times" w:hAnsi="Times"/>
          <w:color w:val="000000"/>
          <w:sz w:val="22"/>
          <w:szCs w:val="22"/>
          <w:lang w:val="tr-TR"/>
        </w:rPr>
        <w:t>Loring</w:t>
      </w:r>
      <w:proofErr w:type="spellEnd"/>
      <w:r w:rsidRPr="004B6220">
        <w:rPr>
          <w:rFonts w:ascii="Times" w:hAnsi="Times"/>
          <w:color w:val="000000"/>
          <w:sz w:val="22"/>
          <w:szCs w:val="22"/>
          <w:lang w:val="tr-TR"/>
        </w:rPr>
        <w:t xml:space="preserve">, D. W., &amp; </w:t>
      </w:r>
      <w:proofErr w:type="spellStart"/>
      <w:r w:rsidRPr="004B6220">
        <w:rPr>
          <w:rFonts w:ascii="Times" w:hAnsi="Times"/>
          <w:color w:val="000000"/>
          <w:sz w:val="22"/>
          <w:szCs w:val="22"/>
          <w:lang w:val="tr-TR"/>
        </w:rPr>
        <w:t>Fischer</w:t>
      </w:r>
      <w:proofErr w:type="spellEnd"/>
      <w:r w:rsidRPr="004B6220">
        <w:rPr>
          <w:rFonts w:ascii="Times" w:hAnsi="Times"/>
          <w:color w:val="000000"/>
          <w:sz w:val="22"/>
          <w:szCs w:val="22"/>
          <w:lang w:val="tr-TR"/>
        </w:rPr>
        <w:t>, J. S. (2004). </w:t>
      </w:r>
      <w:proofErr w:type="spellStart"/>
      <w:r w:rsidRPr="004B6220">
        <w:rPr>
          <w:rFonts w:ascii="Times" w:hAnsi="Times"/>
          <w:i/>
          <w:iCs/>
          <w:color w:val="000000"/>
          <w:sz w:val="22"/>
          <w:szCs w:val="22"/>
          <w:lang w:val="tr-TR"/>
        </w:rPr>
        <w:t>Neuropsychological</w:t>
      </w:r>
      <w:proofErr w:type="spellEnd"/>
      <w:r w:rsidRPr="004B6220">
        <w:rPr>
          <w:rFonts w:ascii="Times" w:hAnsi="Times"/>
          <w:i/>
          <w:iCs/>
          <w:color w:val="000000"/>
          <w:sz w:val="22"/>
          <w:szCs w:val="22"/>
          <w:lang w:val="tr-TR"/>
        </w:rPr>
        <w:t xml:space="preserve"> </w:t>
      </w:r>
      <w:proofErr w:type="spellStart"/>
      <w:r w:rsidRPr="004B6220">
        <w:rPr>
          <w:rFonts w:ascii="Times" w:hAnsi="Times"/>
          <w:i/>
          <w:iCs/>
          <w:color w:val="000000"/>
          <w:sz w:val="22"/>
          <w:szCs w:val="22"/>
          <w:lang w:val="tr-TR"/>
        </w:rPr>
        <w:t>assessment</w:t>
      </w:r>
      <w:proofErr w:type="spellEnd"/>
      <w:r w:rsidRPr="004B6220">
        <w:rPr>
          <w:rFonts w:ascii="Times" w:hAnsi="Times"/>
          <w:color w:val="000000"/>
          <w:sz w:val="22"/>
          <w:szCs w:val="22"/>
          <w:lang w:val="tr-TR"/>
        </w:rPr>
        <w:t xml:space="preserve">. Oxford </w:t>
      </w:r>
      <w:proofErr w:type="spellStart"/>
      <w:r w:rsidRPr="004B6220">
        <w:rPr>
          <w:rFonts w:ascii="Times" w:hAnsi="Times"/>
          <w:color w:val="000000"/>
          <w:sz w:val="22"/>
          <w:szCs w:val="22"/>
          <w:lang w:val="tr-TR"/>
        </w:rPr>
        <w:t>University</w:t>
      </w:r>
      <w:proofErr w:type="spellEnd"/>
      <w:r w:rsidRPr="004B6220">
        <w:rPr>
          <w:rFonts w:ascii="Times" w:hAnsi="Times"/>
          <w:color w:val="000000"/>
          <w:sz w:val="22"/>
          <w:szCs w:val="22"/>
          <w:lang w:val="tr-TR"/>
        </w:rPr>
        <w:t xml:space="preserve"> </w:t>
      </w:r>
      <w:proofErr w:type="spellStart"/>
      <w:r w:rsidRPr="004B6220">
        <w:rPr>
          <w:rFonts w:ascii="Times" w:hAnsi="Times"/>
          <w:color w:val="000000"/>
          <w:sz w:val="22"/>
          <w:szCs w:val="22"/>
          <w:lang w:val="tr-TR"/>
        </w:rPr>
        <w:t>Press</w:t>
      </w:r>
      <w:proofErr w:type="spellEnd"/>
      <w:r w:rsidRPr="004B6220">
        <w:rPr>
          <w:rFonts w:ascii="Times" w:hAnsi="Times"/>
          <w:color w:val="000000"/>
          <w:sz w:val="22"/>
          <w:szCs w:val="22"/>
          <w:lang w:val="tr-TR"/>
        </w:rPr>
        <w:t>, USA.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4D7B8A" w:rsidRPr="006C52CD" w:rsidRDefault="004D7B8A" w:rsidP="004D7B8A">
            <w:proofErr w:type="spellStart"/>
            <w:r w:rsidRPr="006C52CD">
              <w:t>Introduction</w:t>
            </w:r>
            <w:proofErr w:type="spellEnd"/>
            <w:r w:rsidRPr="006C52CD">
              <w:t xml:space="preserve"> - </w:t>
            </w:r>
            <w:proofErr w:type="spellStart"/>
            <w:r w:rsidRPr="006C52CD">
              <w:t>Introduction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to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the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course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4D7B8A" w:rsidRPr="006C52CD" w:rsidRDefault="004D7B8A" w:rsidP="004D7B8A">
            <w:r w:rsidRPr="006C52CD">
              <w:t xml:space="preserve">Evaluation of </w:t>
            </w:r>
            <w:proofErr w:type="spellStart"/>
            <w:r w:rsidRPr="006C52CD">
              <w:t>attention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4D7B8A" w:rsidRPr="006C52CD" w:rsidRDefault="004D7B8A" w:rsidP="004D7B8A">
            <w:r w:rsidRPr="006C52CD">
              <w:t xml:space="preserve">Evaluation of </w:t>
            </w:r>
            <w:proofErr w:type="spellStart"/>
            <w:r w:rsidRPr="006C52CD">
              <w:t>attention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4D7B8A" w:rsidRPr="006C52CD" w:rsidRDefault="004D7B8A" w:rsidP="004D7B8A">
            <w:r w:rsidRPr="006C52CD">
              <w:t xml:space="preserve">Evaluation of </w:t>
            </w:r>
            <w:proofErr w:type="spellStart"/>
            <w:r w:rsidRPr="006C52CD">
              <w:t>orientation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4D7B8A" w:rsidRPr="006C52CD" w:rsidRDefault="004D7B8A" w:rsidP="004D7B8A">
            <w:r w:rsidRPr="006C52CD">
              <w:t xml:space="preserve">Evaluation of </w:t>
            </w:r>
            <w:proofErr w:type="spellStart"/>
            <w:r w:rsidRPr="006C52CD">
              <w:t>verbal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memory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processes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4D7B8A" w:rsidRPr="006C52CD" w:rsidRDefault="004D7B8A" w:rsidP="004D7B8A">
            <w:r w:rsidRPr="006C52CD">
              <w:t xml:space="preserve">Evaluation of </w:t>
            </w:r>
            <w:proofErr w:type="spellStart"/>
            <w:r w:rsidRPr="006C52CD">
              <w:t>verbal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memory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processes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4D7B8A" w:rsidRPr="006C52CD" w:rsidRDefault="004D7B8A" w:rsidP="004D7B8A">
            <w:proofErr w:type="spellStart"/>
            <w:r>
              <w:t>Midterm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4D7B8A" w:rsidRPr="006C52CD" w:rsidRDefault="004D7B8A" w:rsidP="004D7B8A">
            <w:r w:rsidRPr="006C52CD">
              <w:t xml:space="preserve">Evaluation of </w:t>
            </w:r>
            <w:proofErr w:type="spellStart"/>
            <w:r w:rsidRPr="006C52CD">
              <w:t>executive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functions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4D7B8A" w:rsidRPr="006C52CD" w:rsidRDefault="004D7B8A" w:rsidP="004D7B8A">
            <w:r w:rsidRPr="006C52CD">
              <w:t xml:space="preserve">Evaluation of </w:t>
            </w:r>
            <w:proofErr w:type="spellStart"/>
            <w:r w:rsidRPr="006C52CD">
              <w:t>executive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functions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10.</w:t>
            </w:r>
          </w:p>
        </w:tc>
        <w:tc>
          <w:tcPr>
            <w:tcW w:w="7570" w:type="dxa"/>
          </w:tcPr>
          <w:p w:rsidR="004D7B8A" w:rsidRPr="006C52CD" w:rsidRDefault="004D7B8A" w:rsidP="004D7B8A">
            <w:r w:rsidRPr="006C52CD">
              <w:t xml:space="preserve">Evaluation of </w:t>
            </w:r>
            <w:proofErr w:type="spellStart"/>
            <w:r w:rsidRPr="006C52CD">
              <w:t>visual-spatial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functions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4D7B8A" w:rsidRPr="006C52CD" w:rsidRDefault="004D7B8A" w:rsidP="004D7B8A">
            <w:r w:rsidRPr="006C52CD">
              <w:t xml:space="preserve">Evaluation of </w:t>
            </w:r>
            <w:proofErr w:type="spellStart"/>
            <w:r w:rsidRPr="006C52CD">
              <w:t>visual-spatial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functions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4D7B8A" w:rsidRPr="006C52CD" w:rsidRDefault="004D7B8A" w:rsidP="004D7B8A">
            <w:r w:rsidRPr="006C52CD">
              <w:t xml:space="preserve">Evaluation of </w:t>
            </w:r>
            <w:proofErr w:type="spellStart"/>
            <w:r w:rsidRPr="006C52CD">
              <w:t>language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and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verbal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skills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4D7B8A" w:rsidRPr="006C52CD" w:rsidRDefault="004D7B8A" w:rsidP="004D7B8A">
            <w:r w:rsidRPr="006C52CD">
              <w:t xml:space="preserve">Evaluation of </w:t>
            </w:r>
            <w:proofErr w:type="spellStart"/>
            <w:r w:rsidRPr="006C52CD">
              <w:t>language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and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verbal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skills</w:t>
            </w:r>
            <w:proofErr w:type="spellEnd"/>
          </w:p>
        </w:tc>
      </w:tr>
      <w:tr w:rsidR="004D7B8A" w:rsidRPr="002522F3" w:rsidTr="00C0041F">
        <w:trPr>
          <w:trHeight w:val="412"/>
        </w:trPr>
        <w:tc>
          <w:tcPr>
            <w:tcW w:w="948" w:type="dxa"/>
          </w:tcPr>
          <w:p w:rsidR="004D7B8A" w:rsidRPr="002522F3" w:rsidRDefault="004D7B8A" w:rsidP="004D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4D7B8A" w:rsidRDefault="004D7B8A" w:rsidP="004D7B8A">
            <w:proofErr w:type="spellStart"/>
            <w:r w:rsidRPr="006C52CD">
              <w:t>Praxia</w:t>
            </w:r>
            <w:proofErr w:type="spellEnd"/>
            <w:r w:rsidRPr="006C52CD">
              <w:t xml:space="preserve"> </w:t>
            </w:r>
            <w:proofErr w:type="spellStart"/>
            <w:r w:rsidRPr="006C52CD">
              <w:t>assessment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063E3A" w:rsidRDefault="004D7B8A" w:rsidP="004D7B8A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4D7B8A">
        <w:rPr>
          <w:rFonts w:ascii="Times New Roman" w:eastAsia="Arial Unicode MS" w:hAnsi="Times New Roman" w:cs="Times New Roman"/>
          <w:color w:val="000000"/>
          <w:bdr w:val="nil"/>
          <w:lang w:val="en-US"/>
        </w:rPr>
        <w:t>Appraise the motor functions.</w:t>
      </w:r>
    </w:p>
    <w:p w:rsidR="004D7B8A" w:rsidRDefault="004D7B8A" w:rsidP="004D7B8A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4D7B8A">
        <w:rPr>
          <w:rFonts w:ascii="Times New Roman" w:eastAsia="Arial Unicode MS" w:hAnsi="Times New Roman" w:cs="Times New Roman"/>
          <w:color w:val="000000"/>
          <w:bdr w:val="nil"/>
          <w:lang w:val="en-US"/>
        </w:rPr>
        <w:t>Identify neuropsychological tests.</w:t>
      </w:r>
    </w:p>
    <w:p w:rsidR="004D7B8A" w:rsidRDefault="004D7B8A" w:rsidP="004D7B8A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4D7B8A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the neuropsychological testing.</w:t>
      </w:r>
    </w:p>
    <w:p w:rsidR="004D7B8A" w:rsidRDefault="004D7B8A" w:rsidP="004D7B8A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4D7B8A">
        <w:rPr>
          <w:rFonts w:ascii="Times New Roman" w:eastAsia="Arial Unicode MS" w:hAnsi="Times New Roman" w:cs="Times New Roman"/>
          <w:color w:val="000000"/>
          <w:bdr w:val="nil"/>
          <w:lang w:val="en-US"/>
        </w:rPr>
        <w:t>Identify the historical development of neuropsychological tests</w:t>
      </w:r>
    </w:p>
    <w:p w:rsidR="004D7B8A" w:rsidRPr="00D02693" w:rsidRDefault="004D7B8A" w:rsidP="004D7B8A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06D88" w:rsidRDefault="00D06D88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4D7B8A" w:rsidRPr="002522F3" w:rsidTr="00D06D88">
        <w:trPr>
          <w:trHeight w:val="412"/>
        </w:trPr>
        <w:tc>
          <w:tcPr>
            <w:tcW w:w="534" w:type="dxa"/>
          </w:tcPr>
          <w:p w:rsidR="004D7B8A" w:rsidRPr="002522F3" w:rsidRDefault="004D7B8A" w:rsidP="004D7B8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4D7B8A" w:rsidRPr="009B4219" w:rsidRDefault="004D7B8A" w:rsidP="004D7B8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4D7B8A" w:rsidRPr="002522F3" w:rsidTr="00D06D88">
        <w:trPr>
          <w:trHeight w:val="412"/>
        </w:trPr>
        <w:tc>
          <w:tcPr>
            <w:tcW w:w="534" w:type="dxa"/>
          </w:tcPr>
          <w:p w:rsidR="004D7B8A" w:rsidRPr="002522F3" w:rsidRDefault="004D7B8A" w:rsidP="004D7B8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4D7B8A" w:rsidRPr="009B4219" w:rsidRDefault="004D7B8A" w:rsidP="004D7B8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4D7B8A" w:rsidRPr="002522F3" w:rsidTr="00D06D88">
        <w:trPr>
          <w:trHeight w:val="412"/>
        </w:trPr>
        <w:tc>
          <w:tcPr>
            <w:tcW w:w="534" w:type="dxa"/>
          </w:tcPr>
          <w:p w:rsidR="004D7B8A" w:rsidRPr="002522F3" w:rsidRDefault="004D7B8A" w:rsidP="004D7B8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4D7B8A" w:rsidRPr="009B4219" w:rsidRDefault="004D7B8A" w:rsidP="004D7B8A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4D7B8A" w:rsidRPr="002522F3" w:rsidTr="00D06D88">
        <w:trPr>
          <w:trHeight w:val="412"/>
        </w:trPr>
        <w:tc>
          <w:tcPr>
            <w:tcW w:w="534" w:type="dxa"/>
          </w:tcPr>
          <w:p w:rsidR="004D7B8A" w:rsidRPr="002522F3" w:rsidRDefault="004D7B8A" w:rsidP="004D7B8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4D7B8A" w:rsidRPr="009B4219" w:rsidRDefault="004D7B8A" w:rsidP="004D7B8A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4D7B8A" w:rsidRPr="002522F3" w:rsidTr="00D06D88">
        <w:trPr>
          <w:trHeight w:val="412"/>
        </w:trPr>
        <w:tc>
          <w:tcPr>
            <w:tcW w:w="534" w:type="dxa"/>
          </w:tcPr>
          <w:p w:rsidR="004D7B8A" w:rsidRPr="002522F3" w:rsidRDefault="004D7B8A" w:rsidP="004D7B8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4D7B8A" w:rsidRPr="009B4219" w:rsidRDefault="004D7B8A" w:rsidP="004D7B8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4D7B8A" w:rsidRPr="002522F3" w:rsidTr="00D06D88">
        <w:trPr>
          <w:trHeight w:val="412"/>
        </w:trPr>
        <w:tc>
          <w:tcPr>
            <w:tcW w:w="534" w:type="dxa"/>
          </w:tcPr>
          <w:p w:rsidR="004D7B8A" w:rsidRPr="002522F3" w:rsidRDefault="004D7B8A" w:rsidP="004D7B8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4D7B8A" w:rsidRPr="009B4219" w:rsidRDefault="004D7B8A" w:rsidP="004D7B8A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4D7B8A" w:rsidRPr="002522F3" w:rsidTr="00D06D88">
        <w:trPr>
          <w:trHeight w:val="412"/>
        </w:trPr>
        <w:tc>
          <w:tcPr>
            <w:tcW w:w="534" w:type="dxa"/>
          </w:tcPr>
          <w:p w:rsidR="004D7B8A" w:rsidRPr="002522F3" w:rsidRDefault="004D7B8A" w:rsidP="004D7B8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4D7B8A" w:rsidRPr="009B4219" w:rsidRDefault="004D7B8A" w:rsidP="004D7B8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4D7B8A" w:rsidRPr="002522F3" w:rsidTr="00D06D88">
        <w:trPr>
          <w:trHeight w:val="412"/>
        </w:trPr>
        <w:tc>
          <w:tcPr>
            <w:tcW w:w="534" w:type="dxa"/>
          </w:tcPr>
          <w:p w:rsidR="004D7B8A" w:rsidRPr="002522F3" w:rsidRDefault="004D7B8A" w:rsidP="004D7B8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4D7B8A" w:rsidRPr="009B4219" w:rsidRDefault="004D7B8A" w:rsidP="004D7B8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4D7B8A" w:rsidRPr="002522F3" w:rsidTr="00D06D88">
        <w:trPr>
          <w:trHeight w:val="412"/>
        </w:trPr>
        <w:tc>
          <w:tcPr>
            <w:tcW w:w="534" w:type="dxa"/>
          </w:tcPr>
          <w:p w:rsidR="004D7B8A" w:rsidRPr="002522F3" w:rsidRDefault="004D7B8A" w:rsidP="004D7B8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4D7B8A" w:rsidRPr="009B4219" w:rsidRDefault="004D7B8A" w:rsidP="004D7B8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4D7B8A" w:rsidRPr="002522F3" w:rsidTr="00D06D88">
        <w:trPr>
          <w:trHeight w:val="412"/>
        </w:trPr>
        <w:tc>
          <w:tcPr>
            <w:tcW w:w="534" w:type="dxa"/>
          </w:tcPr>
          <w:p w:rsidR="004D7B8A" w:rsidRPr="002522F3" w:rsidRDefault="004D7B8A" w:rsidP="004D7B8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4D7B8A" w:rsidRPr="009B4219" w:rsidRDefault="004D7B8A" w:rsidP="004D7B8A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4D7B8A" w:rsidRPr="002522F3" w:rsidTr="00D06D88">
        <w:trPr>
          <w:trHeight w:val="412"/>
        </w:trPr>
        <w:tc>
          <w:tcPr>
            <w:tcW w:w="534" w:type="dxa"/>
          </w:tcPr>
          <w:p w:rsidR="004D7B8A" w:rsidRPr="002522F3" w:rsidRDefault="004D7B8A" w:rsidP="004D7B8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4D7B8A" w:rsidRPr="009B4219" w:rsidRDefault="004D7B8A" w:rsidP="004D7B8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4D7B8A" w:rsidRPr="002522F3" w:rsidTr="00D06D88">
        <w:trPr>
          <w:trHeight w:val="412"/>
        </w:trPr>
        <w:tc>
          <w:tcPr>
            <w:tcW w:w="534" w:type="dxa"/>
          </w:tcPr>
          <w:p w:rsidR="004D7B8A" w:rsidRPr="002522F3" w:rsidRDefault="004D7B8A" w:rsidP="004D7B8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4D7B8A" w:rsidRDefault="004D7B8A" w:rsidP="004D7B8A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D7B8A" w:rsidRPr="004B6220" w:rsidRDefault="004D7B8A" w:rsidP="004D7B8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1777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FF5B72" w:rsidRDefault="004D7B8A" w:rsidP="004D7B8A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4D7B8A" w:rsidRPr="002522F3" w:rsidTr="00BB7C4F">
        <w:trPr>
          <w:trHeight w:val="289"/>
        </w:trPr>
        <w:tc>
          <w:tcPr>
            <w:tcW w:w="1773" w:type="dxa"/>
          </w:tcPr>
          <w:p w:rsidR="004D7B8A" w:rsidRPr="00FF5B72" w:rsidRDefault="004D7B8A" w:rsidP="004D7B8A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FF5B72" w:rsidRDefault="004D7B8A" w:rsidP="004D7B8A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10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FF5B72" w:rsidRDefault="004D7B8A" w:rsidP="004D7B8A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FF5B72" w:rsidRDefault="004D7B8A" w:rsidP="004D7B8A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FF5B72" w:rsidRDefault="004D7B8A" w:rsidP="004D7B8A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FF5B72" w:rsidRDefault="004D7B8A" w:rsidP="004D7B8A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4D7B8A" w:rsidRPr="002522F3" w:rsidTr="00BB7C4F">
        <w:trPr>
          <w:trHeight w:val="289"/>
        </w:trPr>
        <w:tc>
          <w:tcPr>
            <w:tcW w:w="1773" w:type="dxa"/>
          </w:tcPr>
          <w:p w:rsidR="004D7B8A" w:rsidRPr="00FF5B72" w:rsidRDefault="004D7B8A" w:rsidP="004D7B8A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FF5B72" w:rsidRDefault="004D7B8A" w:rsidP="004D7B8A">
            <w:r w:rsidRPr="00FF5B72">
              <w:t>Presentation</w:t>
            </w:r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FF5B72" w:rsidRDefault="004D7B8A" w:rsidP="004D7B8A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10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10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FF5B72" w:rsidRDefault="004D7B8A" w:rsidP="004D7B8A">
            <w:r w:rsidRPr="00FF5B72">
              <w:t>Project</w:t>
            </w:r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FF5B72" w:rsidRDefault="004D7B8A" w:rsidP="004D7B8A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4D7B8A" w:rsidRPr="002522F3" w:rsidTr="00BB7C4F">
        <w:trPr>
          <w:trHeight w:val="289"/>
        </w:trPr>
        <w:tc>
          <w:tcPr>
            <w:tcW w:w="1773" w:type="dxa"/>
          </w:tcPr>
          <w:p w:rsidR="004D7B8A" w:rsidRPr="00FF5B72" w:rsidRDefault="004D7B8A" w:rsidP="004D7B8A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Default="004D7B8A" w:rsidP="004D7B8A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2522F3" w:rsidRDefault="004D7B8A" w:rsidP="004D7B8A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4D7B8A" w:rsidRPr="002522F3" w:rsidRDefault="004D7B8A" w:rsidP="004D7B8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4D7B8A" w:rsidRDefault="004D7B8A" w:rsidP="004D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124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2522F3" w:rsidRDefault="004D7B8A" w:rsidP="004D7B8A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4D7B8A" w:rsidRPr="002522F3" w:rsidRDefault="004D7B8A" w:rsidP="004D7B8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4D7B8A" w:rsidRDefault="004D7B8A" w:rsidP="004D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4.96</w:t>
            </w:r>
          </w:p>
        </w:tc>
      </w:tr>
      <w:tr w:rsidR="004D7B8A" w:rsidRPr="002522F3" w:rsidTr="00BB7C4F">
        <w:trPr>
          <w:trHeight w:val="301"/>
        </w:trPr>
        <w:tc>
          <w:tcPr>
            <w:tcW w:w="1773" w:type="dxa"/>
          </w:tcPr>
          <w:p w:rsidR="004D7B8A" w:rsidRPr="002522F3" w:rsidRDefault="004D7B8A" w:rsidP="004D7B8A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4D7B8A" w:rsidRPr="002522F3" w:rsidRDefault="004D7B8A" w:rsidP="004D7B8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4D7B8A" w:rsidRDefault="004D7B8A" w:rsidP="004D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4D7B8A" w:rsidRPr="004B6220" w:rsidRDefault="004D7B8A" w:rsidP="004D7B8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 w:rsidR="00063E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</w:t>
      </w:r>
      <w:r w:rsidR="004D7B8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</w:t>
      </w:r>
      <w:r w:rsidR="00063E3A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11CCE"/>
    <w:rsid w:val="00063E3A"/>
    <w:rsid w:val="000D29C2"/>
    <w:rsid w:val="001777C4"/>
    <w:rsid w:val="001B4375"/>
    <w:rsid w:val="001B561A"/>
    <w:rsid w:val="002522F3"/>
    <w:rsid w:val="00281C00"/>
    <w:rsid w:val="002A42DE"/>
    <w:rsid w:val="002D281F"/>
    <w:rsid w:val="003B34FB"/>
    <w:rsid w:val="00481F07"/>
    <w:rsid w:val="004B298C"/>
    <w:rsid w:val="004D7B8A"/>
    <w:rsid w:val="004F0F3D"/>
    <w:rsid w:val="00505ADC"/>
    <w:rsid w:val="00506401"/>
    <w:rsid w:val="0050706C"/>
    <w:rsid w:val="00517EF3"/>
    <w:rsid w:val="005D5BF2"/>
    <w:rsid w:val="006622FA"/>
    <w:rsid w:val="006D7A50"/>
    <w:rsid w:val="00743563"/>
    <w:rsid w:val="007845FC"/>
    <w:rsid w:val="007B7B87"/>
    <w:rsid w:val="008B6DE8"/>
    <w:rsid w:val="00916191"/>
    <w:rsid w:val="00933255"/>
    <w:rsid w:val="00937372"/>
    <w:rsid w:val="009D2556"/>
    <w:rsid w:val="00A4070E"/>
    <w:rsid w:val="00AE38A4"/>
    <w:rsid w:val="00B078A4"/>
    <w:rsid w:val="00BB7C4F"/>
    <w:rsid w:val="00C0041F"/>
    <w:rsid w:val="00C71B41"/>
    <w:rsid w:val="00CB6C93"/>
    <w:rsid w:val="00CF4A7B"/>
    <w:rsid w:val="00D02693"/>
    <w:rsid w:val="00D06D88"/>
    <w:rsid w:val="00D3422B"/>
    <w:rsid w:val="00D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4D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2021-04-21T16:21:00Z</dcterms:created>
  <dcterms:modified xsi:type="dcterms:W3CDTF">2021-04-26T09:49:00Z</dcterms:modified>
</cp:coreProperties>
</file>