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r w:rsidR="002A42DE" w:rsidRPr="002A42DE">
              <w:rPr>
                <w:rFonts w:ascii="Times New Roman" w:hAnsi="Times New Roman" w:cs="Times New Roman"/>
              </w:rPr>
              <w:t xml:space="preserve">Language </w:t>
            </w:r>
            <w:proofErr w:type="spellStart"/>
            <w:r w:rsidR="002A42DE" w:rsidRPr="002A42DE">
              <w:rPr>
                <w:rFonts w:ascii="Times New Roman" w:hAnsi="Times New Roman" w:cs="Times New Roman"/>
              </w:rPr>
              <w:t>and</w:t>
            </w:r>
            <w:proofErr w:type="spellEnd"/>
            <w:r w:rsidR="002A42DE" w:rsidRPr="002A4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2DE" w:rsidRPr="002A42DE">
              <w:rPr>
                <w:rFonts w:ascii="Times New Roman" w:hAnsi="Times New Roman" w:cs="Times New Roman"/>
              </w:rPr>
              <w:t>Concept</w:t>
            </w:r>
            <w:proofErr w:type="spellEnd"/>
            <w:r w:rsidR="002A42DE" w:rsidRPr="002A42DE">
              <w:rPr>
                <w:rFonts w:ascii="Times New Roman" w:hAnsi="Times New Roman" w:cs="Times New Roman"/>
              </w:rPr>
              <w:t xml:space="preserve"> Development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040E24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2A42DE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D02693" w:rsidRPr="00D02693">
        <w:rPr>
          <w:rFonts w:ascii="Times New Roman" w:eastAsia="Arial Unicode MS" w:hAnsi="Times New Roman" w:cs="Times New Roman"/>
          <w:bdr w:val="nil"/>
          <w:lang w:val="en-US"/>
        </w:rPr>
        <w:t>Examination of concepts related to language and language development in psychology.</w:t>
      </w:r>
    </w:p>
    <w:p w:rsidR="00743563" w:rsidRDefault="00C0041F" w:rsidP="00D0269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Examnation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theoretical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issues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acquisition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relationship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linguistic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Coverage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biological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bases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acquisition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about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components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i.e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phonology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lexicon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morphology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syntax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).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Getting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familiar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studies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examining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relationship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cognition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special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populations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deaf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bilinguals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developmental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disorders</w:t>
      </w:r>
      <w:proofErr w:type="spellEnd"/>
      <w:r w:rsidR="00D02693" w:rsidRPr="00D0269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02693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02693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D02693" w:rsidRPr="004B6220" w:rsidRDefault="00D02693" w:rsidP="00D02693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Brooks</w:t>
      </w:r>
      <w:proofErr w:type="spellEnd"/>
      <w:r w:rsidRPr="004B6220">
        <w:rPr>
          <w:rFonts w:ascii="Times" w:hAnsi="Times"/>
        </w:rPr>
        <w:t>, P. J</w:t>
      </w:r>
      <w:proofErr w:type="gramStart"/>
      <w:r w:rsidRPr="004B6220">
        <w:rPr>
          <w:rFonts w:ascii="Times" w:hAnsi="Times"/>
        </w:rPr>
        <w:t>.,</w:t>
      </w:r>
      <w:proofErr w:type="gram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Kempe</w:t>
      </w:r>
      <w:proofErr w:type="spellEnd"/>
      <w:r w:rsidRPr="004B6220">
        <w:rPr>
          <w:rFonts w:ascii="Times" w:hAnsi="Times"/>
        </w:rPr>
        <w:t>, V. (2012). </w:t>
      </w:r>
      <w:r w:rsidRPr="004B6220">
        <w:rPr>
          <w:rFonts w:ascii="Times" w:hAnsi="Times"/>
          <w:i/>
          <w:iCs/>
        </w:rPr>
        <w:t xml:space="preserve">Language </w:t>
      </w:r>
      <w:proofErr w:type="spellStart"/>
      <w:r w:rsidRPr="004B6220">
        <w:rPr>
          <w:rFonts w:ascii="Times" w:hAnsi="Times"/>
          <w:i/>
          <w:iCs/>
        </w:rPr>
        <w:t>development</w:t>
      </w:r>
      <w:proofErr w:type="spellEnd"/>
      <w:r w:rsidRPr="004B6220">
        <w:rPr>
          <w:rFonts w:ascii="Times" w:hAnsi="Times"/>
        </w:rPr>
        <w:t xml:space="preserve">. John </w:t>
      </w:r>
      <w:proofErr w:type="spellStart"/>
      <w:r w:rsidRPr="004B6220">
        <w:rPr>
          <w:rFonts w:ascii="Times" w:hAnsi="Times"/>
        </w:rPr>
        <w:t>Wiley</w:t>
      </w:r>
      <w:proofErr w:type="spell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Sons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Introducing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objectives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and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content</w:t>
            </w:r>
            <w:proofErr w:type="spellEnd"/>
            <w:r w:rsidRPr="00AB277F">
              <w:t xml:space="preserve"> of </w:t>
            </w:r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lesson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Concepts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about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and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theoretical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explanations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about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acquisition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D02693" w:rsidRPr="00AB277F" w:rsidRDefault="00D02693" w:rsidP="00D02693">
            <w:r w:rsidRPr="00AB277F">
              <w:t xml:space="preserve">Components of </w:t>
            </w:r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Phonology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Morphology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Syntax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>
              <w:t>Midterm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Receptive</w:t>
            </w:r>
            <w:proofErr w:type="spellEnd"/>
            <w:r w:rsidRPr="00AB277F">
              <w:t xml:space="preserve"> - </w:t>
            </w:r>
            <w:proofErr w:type="spellStart"/>
            <w:r w:rsidRPr="00AB277F">
              <w:t>Reflective</w:t>
            </w:r>
            <w:proofErr w:type="spellEnd"/>
            <w:r w:rsidRPr="00AB277F">
              <w:t xml:space="preserve"> - </w:t>
            </w:r>
            <w:proofErr w:type="spellStart"/>
            <w:r w:rsidRPr="00AB277F">
              <w:t>Expressive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D02693" w:rsidRPr="00AB277F" w:rsidRDefault="00D02693" w:rsidP="00D02693">
            <w:r w:rsidRPr="00AB277F">
              <w:t>Self-</w:t>
            </w:r>
            <w:proofErr w:type="spellStart"/>
            <w:r w:rsidRPr="00AB277F">
              <w:t>centered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  <w:r w:rsidRPr="00AB277F">
              <w:t xml:space="preserve"> - </w:t>
            </w:r>
            <w:proofErr w:type="spellStart"/>
            <w:r w:rsidRPr="00AB277F">
              <w:t>Mother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language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Verbal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communication</w:t>
            </w:r>
            <w:proofErr w:type="spellEnd"/>
            <w:r w:rsidRPr="00AB277F">
              <w:t xml:space="preserve"> - </w:t>
            </w:r>
            <w:proofErr w:type="spellStart"/>
            <w:r w:rsidRPr="00AB277F">
              <w:t>Nonverbal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communication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Concept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development</w:t>
            </w:r>
            <w:proofErr w:type="spellEnd"/>
            <w:r w:rsidRPr="00AB277F">
              <w:t xml:space="preserve"> in </w:t>
            </w:r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early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years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purpose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and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content</w:t>
            </w:r>
            <w:proofErr w:type="spellEnd"/>
            <w:r w:rsidRPr="00AB277F">
              <w:t xml:space="preserve"> of </w:t>
            </w:r>
            <w:proofErr w:type="spellStart"/>
            <w:r w:rsidRPr="00AB277F">
              <w:t>early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childhood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literacy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activities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D02693" w:rsidRPr="00AB277F" w:rsidRDefault="00D02693" w:rsidP="00D02693">
            <w:proofErr w:type="spellStart"/>
            <w:r w:rsidRPr="00AB277F">
              <w:t>The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purpose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and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content</w:t>
            </w:r>
            <w:proofErr w:type="spellEnd"/>
            <w:r w:rsidRPr="00AB277F">
              <w:t xml:space="preserve"> of </w:t>
            </w:r>
            <w:proofErr w:type="spellStart"/>
            <w:r w:rsidRPr="00AB277F">
              <w:t>early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childhood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literacy</w:t>
            </w:r>
            <w:proofErr w:type="spellEnd"/>
            <w:r w:rsidRPr="00AB277F">
              <w:t xml:space="preserve"> </w:t>
            </w:r>
            <w:proofErr w:type="spellStart"/>
            <w:r w:rsidRPr="00AB277F">
              <w:t>studies</w:t>
            </w:r>
            <w:proofErr w:type="spellEnd"/>
          </w:p>
        </w:tc>
      </w:tr>
      <w:tr w:rsidR="00D02693" w:rsidRPr="002522F3" w:rsidTr="00C0041F">
        <w:trPr>
          <w:trHeight w:val="412"/>
        </w:trPr>
        <w:tc>
          <w:tcPr>
            <w:tcW w:w="948" w:type="dxa"/>
          </w:tcPr>
          <w:p w:rsidR="00D02693" w:rsidRPr="002522F3" w:rsidRDefault="00D02693" w:rsidP="00D02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D02693" w:rsidRDefault="00D02693" w:rsidP="00D02693">
            <w:r w:rsidRPr="00AB277F">
              <w:t xml:space="preserve">An </w:t>
            </w:r>
            <w:proofErr w:type="spellStart"/>
            <w:r w:rsidRPr="00AB277F">
              <w:t>overview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06D88" w:rsidRDefault="00D02693" w:rsidP="00D0269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269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different components of language.</w:t>
      </w:r>
    </w:p>
    <w:p w:rsidR="00D02693" w:rsidRDefault="00D02693" w:rsidP="00D0269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2693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biological and social bases of the acquisition of language in spoken and signed modalities.</w:t>
      </w:r>
    </w:p>
    <w:p w:rsidR="00D02693" w:rsidRDefault="00D02693" w:rsidP="00D0269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2693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proposals about the relationship between language and concept development.</w:t>
      </w:r>
    </w:p>
    <w:p w:rsidR="00D02693" w:rsidRPr="00D02693" w:rsidRDefault="00D02693" w:rsidP="00D0269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269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processes of language acquisition in bilinguals and children with developmental disorders.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2693" w:rsidRPr="002522F3" w:rsidTr="00D06D88">
        <w:trPr>
          <w:trHeight w:val="412"/>
        </w:trPr>
        <w:tc>
          <w:tcPr>
            <w:tcW w:w="534" w:type="dxa"/>
          </w:tcPr>
          <w:p w:rsidR="00D02693" w:rsidRPr="002522F3" w:rsidRDefault="00D02693" w:rsidP="00D0269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02693" w:rsidRPr="009B4219" w:rsidRDefault="00D02693" w:rsidP="00D0269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2693" w:rsidRPr="004B6220" w:rsidRDefault="00D02693" w:rsidP="00D0269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:rsidR="00D06D88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040E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D02693" w:rsidRPr="002522F3" w:rsidTr="00BB7C4F">
        <w:trPr>
          <w:trHeight w:val="289"/>
        </w:trPr>
        <w:tc>
          <w:tcPr>
            <w:tcW w:w="1773" w:type="dxa"/>
          </w:tcPr>
          <w:p w:rsidR="00D02693" w:rsidRPr="00FF5B72" w:rsidRDefault="00D02693" w:rsidP="00D02693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289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r w:rsidRPr="00FF5B72">
              <w:t>Presentation</w:t>
            </w:r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r w:rsidRPr="00FF5B72">
              <w:t>Project</w:t>
            </w:r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289"/>
        </w:trPr>
        <w:tc>
          <w:tcPr>
            <w:tcW w:w="1773" w:type="dxa"/>
          </w:tcPr>
          <w:p w:rsidR="00D02693" w:rsidRPr="00FF5B72" w:rsidRDefault="00D02693" w:rsidP="00D02693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Default="00D02693" w:rsidP="00D02693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2693" w:rsidRDefault="00D02693" w:rsidP="00D0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126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2693" w:rsidRDefault="00D02693" w:rsidP="00D0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5.04</w:t>
            </w:r>
          </w:p>
        </w:tc>
      </w:tr>
      <w:tr w:rsidR="00D02693" w:rsidRPr="002522F3" w:rsidTr="00BB7C4F">
        <w:trPr>
          <w:trHeight w:val="301"/>
        </w:trPr>
        <w:tc>
          <w:tcPr>
            <w:tcW w:w="1773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2693" w:rsidRPr="002522F3" w:rsidRDefault="00D02693" w:rsidP="00D0269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2693" w:rsidRDefault="00D02693" w:rsidP="00D02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D02693" w:rsidRPr="004B6220" w:rsidRDefault="00D02693" w:rsidP="00D0269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40E24"/>
    <w:rsid w:val="000D29C2"/>
    <w:rsid w:val="001B4375"/>
    <w:rsid w:val="001B561A"/>
    <w:rsid w:val="002522F3"/>
    <w:rsid w:val="00281C00"/>
    <w:rsid w:val="002A42DE"/>
    <w:rsid w:val="00481F07"/>
    <w:rsid w:val="004F0F3D"/>
    <w:rsid w:val="00505ADC"/>
    <w:rsid w:val="00506401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AE38A4"/>
    <w:rsid w:val="00B078A4"/>
    <w:rsid w:val="00BB7C4F"/>
    <w:rsid w:val="00C0041F"/>
    <w:rsid w:val="00C71B41"/>
    <w:rsid w:val="00CB6C93"/>
    <w:rsid w:val="00CF4A7B"/>
    <w:rsid w:val="00D02693"/>
    <w:rsid w:val="00D06D88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2021-04-21T14:52:00Z</dcterms:created>
  <dcterms:modified xsi:type="dcterms:W3CDTF">2021-04-26T09:45:00Z</dcterms:modified>
</cp:coreProperties>
</file>