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W w:w="10883" w:type="dxa"/>
        <w:tblInd w:w="-9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4"/>
        <w:gridCol w:w="1700"/>
        <w:gridCol w:w="344"/>
        <w:gridCol w:w="1642"/>
        <w:gridCol w:w="1987"/>
      </w:tblGrid>
      <w:tr w:rsidR="00B4177B" w:rsidRPr="000E6E8B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Name: </w:t>
            </w:r>
          </w:p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4177B" w:rsidRPr="000E6E8B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>
              <w:proofErr w:type="spellStart"/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B4177B" w:rsidRPr="000E6E8B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      PSYC</w:t>
            </w:r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>4614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7B" w:rsidRDefault="00B4177B" w:rsidP="00B4177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Selective</w:t>
            </w:r>
            <w:proofErr w:type="spellEnd"/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p w:rsidR="000E6E8B" w:rsidRPr="000E6E8B" w:rsidRDefault="00B4177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B4177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Course objectives: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Travmatik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deneyimlere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sahip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insanların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saptanması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tedavisi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perspektif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kazanılması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E6E8B" w:rsidRPr="000E6E8B" w:rsidRDefault="00B4177B" w:rsidP="000E6E8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r w:rsidRPr="00B4177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Course description: </w:t>
      </w:r>
      <w:r w:rsidR="000E6E8B"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Arial"/>
          <w:bdr w:val="nil"/>
          <w:shd w:val="clear" w:color="auto" w:fill="FFFFFF"/>
          <w:lang w:val="en-US"/>
        </w:rPr>
        <w:t>A</w:t>
      </w:r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fet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ölümcül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hastalık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savaş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işkence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tecavüz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ve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şiddet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gibi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travma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yaşantıları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olan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bireylerin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sorunlarının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tanı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ve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tedavisine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ilişkin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bakış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açılarının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gözden</w:t>
      </w:r>
      <w:proofErr w:type="spellEnd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="000E6E8B"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geçirilmesi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</w:p>
    <w:p w:rsidR="00B4177B" w:rsidRDefault="00B4177B" w:rsidP="00B4177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52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4"/>
        <w:gridCol w:w="1905"/>
        <w:gridCol w:w="1793"/>
      </w:tblGrid>
      <w:tr w:rsidR="000E6E8B" w:rsidRPr="000E6E8B" w:rsidTr="003C66F9">
        <w:trPr>
          <w:trHeight w:val="471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E6E8B" w:rsidRPr="000E6E8B" w:rsidRDefault="00B4177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Midterm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E6E8B" w:rsidRPr="000E6E8B" w:rsidRDefault="00B4177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Total</w:t>
            </w:r>
          </w:p>
        </w:tc>
      </w:tr>
      <w:tr w:rsidR="000E6E8B" w:rsidRPr="000E6E8B" w:rsidTr="003C66F9">
        <w:trPr>
          <w:trHeight w:val="464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B4177B" w:rsidRDefault="00B4177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B4177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References</w:t>
      </w:r>
    </w:p>
    <w:p w:rsidR="000E6E8B" w:rsidRDefault="00B4177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4177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Herman, J. L. (2015). Trauma and recovery: The aftermath of violence--from domestic abuse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to political terror. Hachette UK</w:t>
      </w:r>
      <w:r w:rsidRPr="00B4177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B4177B" w:rsidRDefault="00B4177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4177B" w:rsidRDefault="00B4177B" w:rsidP="00B4177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p w:rsidR="00B4177B" w:rsidRPr="000E6E8B" w:rsidRDefault="00B4177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>
              <w:t>Introduction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What</w:t>
            </w:r>
            <w:proofErr w:type="spellEnd"/>
            <w:r w:rsidRPr="00CD7E2B">
              <w:t xml:space="preserve"> is </w:t>
            </w:r>
            <w:proofErr w:type="spellStart"/>
            <w:r w:rsidRPr="00CD7E2B">
              <w:t>Trauma</w:t>
            </w:r>
            <w:proofErr w:type="spellEnd"/>
            <w:r w:rsidRPr="00CD7E2B">
              <w:t>?</w:t>
            </w:r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What</w:t>
            </w:r>
            <w:proofErr w:type="spellEnd"/>
            <w:r w:rsidRPr="00CD7E2B">
              <w:t xml:space="preserve"> is </w:t>
            </w:r>
            <w:proofErr w:type="spellStart"/>
            <w:r w:rsidRPr="00CD7E2B">
              <w:t>Trauma</w:t>
            </w:r>
            <w:proofErr w:type="spellEnd"/>
            <w:r w:rsidRPr="00CD7E2B">
              <w:t>?</w:t>
            </w:r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Types</w:t>
            </w:r>
            <w:proofErr w:type="spellEnd"/>
            <w:r w:rsidRPr="00CD7E2B">
              <w:t xml:space="preserve"> of </w:t>
            </w:r>
            <w:proofErr w:type="spellStart"/>
            <w:r w:rsidRPr="00CD7E2B">
              <w:t>Trauma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Types</w:t>
            </w:r>
            <w:proofErr w:type="spellEnd"/>
            <w:r w:rsidRPr="00CD7E2B">
              <w:t xml:space="preserve"> of </w:t>
            </w:r>
            <w:proofErr w:type="spellStart"/>
            <w:r w:rsidRPr="00CD7E2B">
              <w:t>Trauma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lastRenderedPageBreak/>
              <w:t>6.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>
              <w:t>Midterm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Effects</w:t>
            </w:r>
            <w:proofErr w:type="spellEnd"/>
            <w:r w:rsidRPr="00CD7E2B">
              <w:t xml:space="preserve"> of </w:t>
            </w:r>
            <w:proofErr w:type="spellStart"/>
            <w:r w:rsidRPr="00CD7E2B">
              <w:t>Trauma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Effects</w:t>
            </w:r>
            <w:proofErr w:type="spellEnd"/>
            <w:r w:rsidRPr="00CD7E2B">
              <w:t xml:space="preserve"> of </w:t>
            </w:r>
            <w:proofErr w:type="spellStart"/>
            <w:r w:rsidRPr="00CD7E2B">
              <w:t>Trauma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Detection</w:t>
            </w:r>
            <w:proofErr w:type="spellEnd"/>
            <w:r w:rsidRPr="00CD7E2B">
              <w:t xml:space="preserve"> of </w:t>
            </w:r>
            <w:proofErr w:type="spellStart"/>
            <w:r w:rsidRPr="00CD7E2B">
              <w:t>Trauma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Detection</w:t>
            </w:r>
            <w:proofErr w:type="spellEnd"/>
            <w:r w:rsidRPr="00CD7E2B">
              <w:t xml:space="preserve"> of </w:t>
            </w:r>
            <w:proofErr w:type="spellStart"/>
            <w:r w:rsidRPr="00CD7E2B">
              <w:t>Trauma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Prevalence</w:t>
            </w:r>
            <w:proofErr w:type="spellEnd"/>
            <w:r w:rsidRPr="00CD7E2B">
              <w:t xml:space="preserve"> of </w:t>
            </w:r>
            <w:proofErr w:type="spellStart"/>
            <w:r w:rsidRPr="00CD7E2B">
              <w:t>Trauma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Trauma</w:t>
            </w:r>
            <w:proofErr w:type="spellEnd"/>
            <w:r w:rsidRPr="00CD7E2B">
              <w:t xml:space="preserve"> </w:t>
            </w:r>
            <w:proofErr w:type="spellStart"/>
            <w:r w:rsidRPr="00CD7E2B">
              <w:t>Treatment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B4177B" w:rsidRPr="00CD7E2B" w:rsidRDefault="00B4177B" w:rsidP="00B4177B">
            <w:proofErr w:type="spellStart"/>
            <w:r w:rsidRPr="00CD7E2B">
              <w:t>Trauma</w:t>
            </w:r>
            <w:proofErr w:type="spellEnd"/>
            <w:r w:rsidRPr="00CD7E2B">
              <w:t xml:space="preserve"> </w:t>
            </w:r>
            <w:proofErr w:type="spellStart"/>
            <w:r w:rsidRPr="00CD7E2B">
              <w:t>Treatment</w:t>
            </w:r>
            <w:proofErr w:type="spellEnd"/>
          </w:p>
        </w:tc>
      </w:tr>
      <w:tr w:rsidR="00B4177B" w:rsidRPr="000E6E8B" w:rsidTr="003C66F9">
        <w:trPr>
          <w:trHeight w:val="412"/>
        </w:trPr>
        <w:tc>
          <w:tcPr>
            <w:tcW w:w="948" w:type="dxa"/>
          </w:tcPr>
          <w:p w:rsidR="00B4177B" w:rsidRPr="000E6E8B" w:rsidRDefault="00B4177B" w:rsidP="00B4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B4177B" w:rsidRDefault="00B4177B" w:rsidP="00B4177B">
            <w:proofErr w:type="spellStart"/>
            <w:r w:rsidRPr="00CD7E2B">
              <w:t>Trauma</w:t>
            </w:r>
            <w:proofErr w:type="spellEnd"/>
            <w:r w:rsidRPr="00CD7E2B">
              <w:t xml:space="preserve"> </w:t>
            </w:r>
            <w:proofErr w:type="spellStart"/>
            <w:r w:rsidRPr="00CD7E2B">
              <w:t>Treatment</w:t>
            </w:r>
            <w:proofErr w:type="spellEnd"/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4177B" w:rsidRPr="00B4177B" w:rsidRDefault="00B4177B" w:rsidP="00B4177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B4177B" w:rsidRPr="00B4177B" w:rsidRDefault="00B4177B" w:rsidP="00B4177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B4177B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B4177B" w:rsidRPr="00B4177B" w:rsidRDefault="00B4177B" w:rsidP="00B4177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gain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77B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B417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177B" w:rsidRDefault="00B4177B" w:rsidP="00B417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B4177B">
        <w:rPr>
          <w:rFonts w:ascii="Times New Roman" w:eastAsia="Arial Unicode MS" w:hAnsi="Times New Roman" w:cs="Times New Roman"/>
          <w:bdr w:val="nil"/>
          <w:lang w:val="en-US"/>
        </w:rPr>
        <w:t>Discuss the influence of experiences such as disaster, terminal illness, torture and rape upon individuals</w:t>
      </w:r>
      <w:r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B4177B" w:rsidRDefault="00B4177B" w:rsidP="00B417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B4177B">
        <w:rPr>
          <w:rFonts w:ascii="Times New Roman" w:eastAsia="Arial Unicode MS" w:hAnsi="Times New Roman" w:cs="Times New Roman"/>
          <w:bdr w:val="nil"/>
          <w:lang w:val="en-US"/>
        </w:rPr>
        <w:t>Compare various therapy techniques for trauma</w:t>
      </w:r>
      <w:r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B4177B" w:rsidRDefault="00B4177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B4177B">
        <w:rPr>
          <w:rFonts w:ascii="Times New Roman" w:eastAsia="Arial Unicode MS" w:hAnsi="Times New Roman" w:cs="Times New Roman"/>
          <w:bdr w:val="nil"/>
          <w:lang w:val="en-US"/>
        </w:rPr>
        <w:t>Learn the treatment techniques for traumatic experiences</w:t>
      </w:r>
      <w:r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E6E8B" w:rsidRDefault="00B4177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B4177B">
        <w:rPr>
          <w:rFonts w:ascii="Times New Roman" w:eastAsia="Arial Unicode MS" w:hAnsi="Times New Roman" w:cs="Times New Roman"/>
          <w:bdr w:val="nil"/>
          <w:lang w:val="en-US"/>
        </w:rPr>
        <w:t>Understand the diagnostic approaches to trauma.</w:t>
      </w:r>
    </w:p>
    <w:p w:rsidR="00B4177B" w:rsidRPr="00B4177B" w:rsidRDefault="00B4177B" w:rsidP="00B417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70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CO4</w:t>
            </w: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examine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compare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different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concepts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subfields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various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solve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problems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related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contemporary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interpret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facts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events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data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define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analyze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problems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evidence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knowledge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acquired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Discussing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criticizing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ethical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issues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program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design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lastRenderedPageBreak/>
              <w:t>5.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explain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procedures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rules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measurement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interview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techniques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ability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level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Adopting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rules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positivist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method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designing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collecting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data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analyzing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scientifically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reporting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results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gain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principles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separate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integrate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knowledge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gained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other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disciplines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view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competence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necessary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technologies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reach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spread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oral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written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effectively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both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Turkish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least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effectively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individual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multidisciplinary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teams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respect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interpersonal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diversity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social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responsibility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  <w:tr w:rsidR="00B4177B" w:rsidRPr="000E6E8B" w:rsidTr="003C66F9">
        <w:trPr>
          <w:trHeight w:val="412"/>
        </w:trPr>
        <w:tc>
          <w:tcPr>
            <w:tcW w:w="534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B4177B" w:rsidRDefault="00B4177B" w:rsidP="00B4177B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aware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resilience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personal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4177B" w:rsidRPr="000E6E8B" w:rsidRDefault="00B4177B" w:rsidP="00B4177B">
            <w:pPr>
              <w:rPr>
                <w:color w:val="000000"/>
                <w:lang w:val="en-US"/>
              </w:rPr>
            </w:pPr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227"/>
        <w:gridCol w:w="814"/>
      </w:tblGrid>
      <w:tr w:rsidR="000E6E8B" w:rsidRPr="000E6E8B" w:rsidTr="004E2992">
        <w:trPr>
          <w:trHeight w:val="301"/>
        </w:trPr>
        <w:tc>
          <w:tcPr>
            <w:tcW w:w="4542" w:type="dxa"/>
            <w:gridSpan w:val="4"/>
          </w:tcPr>
          <w:p w:rsidR="000E6E8B" w:rsidRPr="000E6E8B" w:rsidRDefault="00B4177B" w:rsidP="000E6E8B">
            <w:pPr>
              <w:rPr>
                <w:lang w:val="en-US"/>
              </w:rPr>
            </w:pPr>
            <w:r>
              <w:t xml:space="preserve">Course Evaluation </w:t>
            </w:r>
            <w:proofErr w:type="spellStart"/>
            <w:r>
              <w:t>and</w:t>
            </w:r>
            <w:proofErr w:type="spellEnd"/>
            <w:r>
              <w:t xml:space="preserve"> ECTS </w:t>
            </w:r>
            <w:proofErr w:type="spellStart"/>
            <w:r>
              <w:t>Workload</w:t>
            </w:r>
            <w:proofErr w:type="spellEnd"/>
          </w:p>
        </w:tc>
      </w:tr>
      <w:tr w:rsidR="000E6E8B" w:rsidRPr="000E6E8B" w:rsidTr="004E2992">
        <w:trPr>
          <w:trHeight w:val="301"/>
        </w:trPr>
        <w:tc>
          <w:tcPr>
            <w:tcW w:w="1773" w:type="dxa"/>
            <w:vMerge w:val="restart"/>
          </w:tcPr>
          <w:p w:rsidR="00B4177B" w:rsidRDefault="00B4177B" w:rsidP="00B4177B"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  <w:p w:rsidR="000E6E8B" w:rsidRPr="000E6E8B" w:rsidRDefault="000E6E8B" w:rsidP="000E6E8B">
            <w:pPr>
              <w:ind w:right="-247"/>
              <w:rPr>
                <w:lang w:val="en-US"/>
              </w:rPr>
            </w:pPr>
          </w:p>
        </w:tc>
        <w:tc>
          <w:tcPr>
            <w:tcW w:w="872" w:type="dxa"/>
            <w:vMerge w:val="restart"/>
          </w:tcPr>
          <w:p w:rsidR="000E6E8B" w:rsidRPr="000E6E8B" w:rsidRDefault="00B4177B" w:rsidP="000E6E8B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97" w:type="dxa"/>
            <w:gridSpan w:val="2"/>
          </w:tcPr>
          <w:p w:rsidR="000E6E8B" w:rsidRPr="000E6E8B" w:rsidRDefault="00B4177B" w:rsidP="000E6E8B">
            <w:pPr>
              <w:rPr>
                <w:lang w:val="en-US"/>
              </w:rPr>
            </w:pPr>
            <w:r>
              <w:t xml:space="preserve">ECTS </w:t>
            </w:r>
            <w:proofErr w:type="spellStart"/>
            <w:r>
              <w:t>Workload</w:t>
            </w:r>
            <w:proofErr w:type="spellEnd"/>
          </w:p>
        </w:tc>
      </w:tr>
      <w:tr w:rsidR="000E6E8B" w:rsidRPr="000E6E8B" w:rsidTr="004E2992">
        <w:trPr>
          <w:trHeight w:val="301"/>
        </w:trPr>
        <w:tc>
          <w:tcPr>
            <w:tcW w:w="1773" w:type="dxa"/>
            <w:vMerge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E6E8B" w:rsidRPr="000E6E8B" w:rsidRDefault="004E2992" w:rsidP="000E6E8B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814" w:type="dxa"/>
          </w:tcPr>
          <w:p w:rsidR="000E6E8B" w:rsidRPr="000E6E8B" w:rsidRDefault="004E2992" w:rsidP="000E6E8B">
            <w:pPr>
              <w:rPr>
                <w:lang w:val="en-US"/>
              </w:rPr>
            </w:pPr>
            <w:r>
              <w:rPr>
                <w:lang w:val="en-US"/>
              </w:rPr>
              <w:t>Work Load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Attendance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42</w:t>
            </w:r>
          </w:p>
        </w:tc>
      </w:tr>
      <w:tr w:rsidR="004E2992" w:rsidRPr="000E6E8B" w:rsidTr="004E2992">
        <w:trPr>
          <w:trHeight w:val="289"/>
        </w:trPr>
        <w:tc>
          <w:tcPr>
            <w:tcW w:w="1773" w:type="dxa"/>
          </w:tcPr>
          <w:p w:rsidR="004E2992" w:rsidRDefault="004E2992" w:rsidP="004E2992">
            <w:r>
              <w:t xml:space="preserve">Final </w:t>
            </w:r>
            <w:proofErr w:type="spellStart"/>
            <w:r>
              <w:t>exam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Quizzes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Assignments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r>
              <w:t xml:space="preserve">Final </w:t>
            </w:r>
            <w:proofErr w:type="spellStart"/>
            <w:r>
              <w:t>project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Seminar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289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Duties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r>
              <w:t>Presentation</w:t>
            </w:r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Midterm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r>
              <w:t>Project</w:t>
            </w:r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25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Lab</w:t>
            </w:r>
            <w:proofErr w:type="spellEnd"/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289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time</w:t>
            </w:r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Default="004E2992" w:rsidP="004E2992">
            <w:proofErr w:type="spellStart"/>
            <w:r>
              <w:t>Other</w:t>
            </w:r>
            <w:proofErr w:type="spellEnd"/>
            <w:r>
              <w:t xml:space="preserve"> (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>)</w:t>
            </w:r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28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Pr="000E6E8B" w:rsidRDefault="004E2992" w:rsidP="004E299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E2992" w:rsidRDefault="004E2992" w:rsidP="004E2992">
            <w:r>
              <w:t xml:space="preserve">Total </w:t>
            </w:r>
            <w:proofErr w:type="spellStart"/>
            <w:r>
              <w:t>workload</w:t>
            </w:r>
            <w:proofErr w:type="spellEnd"/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135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Pr="000E6E8B" w:rsidRDefault="004E2992" w:rsidP="004E299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E2992" w:rsidRDefault="004E2992" w:rsidP="004E2992">
            <w:r>
              <w:t xml:space="preserve">Total </w:t>
            </w:r>
            <w:proofErr w:type="spellStart"/>
            <w:r>
              <w:t>workload</w:t>
            </w:r>
            <w:proofErr w:type="spellEnd"/>
            <w:r>
              <w:t>/25</w:t>
            </w:r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5.4</w:t>
            </w:r>
          </w:p>
        </w:tc>
      </w:tr>
      <w:tr w:rsidR="004E2992" w:rsidRPr="000E6E8B" w:rsidTr="004E2992">
        <w:trPr>
          <w:trHeight w:val="301"/>
        </w:trPr>
        <w:tc>
          <w:tcPr>
            <w:tcW w:w="1773" w:type="dxa"/>
          </w:tcPr>
          <w:p w:rsidR="004E2992" w:rsidRPr="000E6E8B" w:rsidRDefault="004E2992" w:rsidP="004E299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4E2992" w:rsidRPr="000E6E8B" w:rsidRDefault="004E2992" w:rsidP="004E299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4E2992" w:rsidRDefault="004E2992" w:rsidP="004E2992">
            <w:r>
              <w:t xml:space="preserve">ECTS </w:t>
            </w:r>
            <w:proofErr w:type="spellStart"/>
            <w:r>
              <w:t>Credit</w:t>
            </w:r>
            <w:proofErr w:type="spellEnd"/>
          </w:p>
        </w:tc>
        <w:tc>
          <w:tcPr>
            <w:tcW w:w="814" w:type="dxa"/>
          </w:tcPr>
          <w:p w:rsidR="004E2992" w:rsidRPr="000E6E8B" w:rsidRDefault="004E2992" w:rsidP="004E2992">
            <w:pPr>
              <w:rPr>
                <w:lang w:val="en-US"/>
              </w:rPr>
            </w:pPr>
            <w:r w:rsidRPr="000E6E8B">
              <w:rPr>
                <w:lang w:val="en-US"/>
              </w:rPr>
              <w:t>5</w:t>
            </w:r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4E2992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Teaching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spellEnd"/>
    </w:p>
    <w:p w:rsidR="000E6E8B" w:rsidRPr="000E6E8B" w:rsidRDefault="004E2992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spellEnd"/>
      <w:r w:rsidR="000E6E8B"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bookmarkStart w:id="0" w:name="_GoBack"/>
      <w:bookmarkEnd w:id="0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Esra</w:t>
      </w:r>
      <w:proofErr w:type="spellEnd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="000E6E8B" w:rsidRPr="000E6E8B">
        <w:rPr>
          <w:rFonts w:ascii="Times New Roman" w:eastAsia="Arial Unicode MS" w:hAnsi="Times New Roman" w:cs="Times New Roman"/>
          <w:bdr w:val="nil"/>
          <w:lang w:val="en-US"/>
        </w:rPr>
        <w:t>Savaş</w:t>
      </w:r>
      <w:proofErr w:type="spellEnd"/>
      <w:r w:rsidR="000E6E8B"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  <w:r w:rsidR="000E6E8B"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Date</w:t>
      </w:r>
      <w:r w:rsidR="000E6E8B"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0E6E8B"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3579"/>
    <w:multiLevelType w:val="multilevel"/>
    <w:tmpl w:val="3F0CFA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8B"/>
    <w:rsid w:val="000E6E8B"/>
    <w:rsid w:val="004E2992"/>
    <w:rsid w:val="00AE38A4"/>
    <w:rsid w:val="00B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E105B-8F28-4BFF-BF2D-60FCDB5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E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0E6E8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B4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2021-10-21T14:16:00Z</dcterms:created>
  <dcterms:modified xsi:type="dcterms:W3CDTF">2021-10-21T14:16:00Z</dcterms:modified>
</cp:coreProperties>
</file>