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F305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pPr w:leftFromText="141" w:rightFromText="141" w:horzAnchor="margin" w:tblpXSpec="center" w:tblpY="432"/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1980"/>
        <w:gridCol w:w="1037"/>
        <w:gridCol w:w="258"/>
        <w:gridCol w:w="1062"/>
        <w:gridCol w:w="1416"/>
        <w:gridCol w:w="287"/>
        <w:gridCol w:w="1368"/>
        <w:gridCol w:w="1654"/>
      </w:tblGrid>
      <w:tr w:rsidR="003C7FA4" w:rsidRPr="00BC3679" w14:paraId="2315DFB7" w14:textId="77777777" w:rsidTr="00BC3679">
        <w:trPr>
          <w:trHeight w:val="515"/>
          <w:jc w:val="center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E6E0" w14:textId="563D08C8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Adı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: </w:t>
            </w:r>
            <w:proofErr w:type="spellStart"/>
            <w:r w:rsidR="002E6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Müzik</w:t>
            </w:r>
            <w:proofErr w:type="spellEnd"/>
            <w:r w:rsidR="002E6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="002E6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Terapisine</w:t>
            </w:r>
            <w:proofErr w:type="spellEnd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Gi</w:t>
            </w:r>
            <w:r w:rsidR="00BC3679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riş</w:t>
            </w:r>
            <w:proofErr w:type="spellEnd"/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3F7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Seviyesi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:</w:t>
            </w: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4DB4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Dili:</w:t>
            </w: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Türkçe</w:t>
            </w:r>
            <w:proofErr w:type="spellEnd"/>
          </w:p>
        </w:tc>
      </w:tr>
      <w:tr w:rsidR="003C7FA4" w:rsidRPr="00BC3679" w14:paraId="64447805" w14:textId="77777777" w:rsidTr="00BC3679">
        <w:trPr>
          <w:trHeight w:val="3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237C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01C6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C578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83CE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T+U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5DC3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AKTS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947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Türü</w:t>
            </w:r>
            <w:proofErr w:type="spellEnd"/>
          </w:p>
        </w:tc>
      </w:tr>
      <w:tr w:rsidR="003C7FA4" w:rsidRPr="00BC3679" w14:paraId="31C283A2" w14:textId="77777777" w:rsidTr="00BC3679">
        <w:trPr>
          <w:trHeight w:val="3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4224" w14:textId="627DC465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PSKO</w:t>
            </w:r>
            <w:r w:rsidR="005E3EAF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4</w:t>
            </w:r>
            <w:r w:rsidR="004A4524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8</w:t>
            </w:r>
            <w:r w:rsidR="005E3EAF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0</w:t>
            </w:r>
            <w:r w:rsidR="002E6154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2F40" w14:textId="239F2B1B" w:rsidR="003C7FA4" w:rsidRPr="00BC3679" w:rsidRDefault="002E615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Yok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91BA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Yok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07E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3+0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608" w14:textId="6A45A267" w:rsidR="003C7FA4" w:rsidRPr="00BC3679" w:rsidRDefault="005E3EAF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CCF3" w14:textId="342A336C" w:rsidR="003C7FA4" w:rsidRPr="00BC3679" w:rsidRDefault="005E3EAF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Seçmeli</w:t>
            </w:r>
            <w:proofErr w:type="spellEnd"/>
          </w:p>
        </w:tc>
      </w:tr>
    </w:tbl>
    <w:p w14:paraId="0E40B359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784B3C26" w14:textId="0F673B24" w:rsidR="00F61E22" w:rsidRPr="00BC3679" w:rsidRDefault="003C7FA4" w:rsidP="00F61E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bookmarkStart w:id="0" w:name="_30j0zll" w:colFirst="0" w:colLast="0"/>
      <w:bookmarkEnd w:id="0"/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Dersin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Tanımı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: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Kanıta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dayalı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terapi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günümüz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sağlık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sistemindeki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yeri,sağlıkta</w:t>
      </w:r>
      <w:proofErr w:type="spellEnd"/>
      <w:proofErr w:type="gram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uygulamaları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tıbbı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terapi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tarihi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terapinin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kullanıldığı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alanlar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terapinin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müziğin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sağaltıcı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etkisini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kullanan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diğer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yöntemlerden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ayrımı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teorik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zemini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olgu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örnekleri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videolar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atölyeler</w:t>
      </w:r>
      <w:proofErr w:type="spellEnd"/>
      <w:r w:rsidR="002E6154" w:rsidRPr="002E6154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.</w:t>
      </w:r>
    </w:p>
    <w:p w14:paraId="208BEE4D" w14:textId="017CB8D3" w:rsidR="003C7FA4" w:rsidRPr="00BC3679" w:rsidRDefault="003C7FA4" w:rsidP="00F61E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Değerlendirme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Sistemi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077B38" w:rsidRPr="00BC3679" w14:paraId="70FE89BD" w14:textId="77777777" w:rsidTr="00A751C3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22F226E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548B558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161D394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Toplam</w:t>
            </w:r>
            <w:proofErr w:type="spellEnd"/>
          </w:p>
        </w:tc>
      </w:tr>
      <w:tr w:rsidR="00077B38" w:rsidRPr="00BC3679" w14:paraId="20D3026D" w14:textId="77777777" w:rsidTr="00A751C3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FF7019B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%</w:t>
            </w: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2059184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%</w:t>
            </w: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AAC58AE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100</w:t>
            </w:r>
          </w:p>
        </w:tc>
      </w:tr>
    </w:tbl>
    <w:p w14:paraId="1A2B2B1B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625C84CA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Haftalık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C7FA4" w:rsidRPr="00BC3679" w14:paraId="174D7872" w14:textId="77777777" w:rsidTr="007E5171">
        <w:trPr>
          <w:trHeight w:val="412"/>
        </w:trPr>
        <w:tc>
          <w:tcPr>
            <w:tcW w:w="948" w:type="dxa"/>
          </w:tcPr>
          <w:p w14:paraId="125F1985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14:paraId="6562B883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Konular</w:t>
            </w:r>
            <w:proofErr w:type="spellEnd"/>
          </w:p>
        </w:tc>
      </w:tr>
      <w:tr w:rsidR="003C7FA4" w:rsidRPr="00BC3679" w14:paraId="7CCA90E9" w14:textId="77777777" w:rsidTr="007E5171">
        <w:trPr>
          <w:trHeight w:val="412"/>
        </w:trPr>
        <w:tc>
          <w:tcPr>
            <w:tcW w:w="948" w:type="dxa"/>
          </w:tcPr>
          <w:p w14:paraId="121274C0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570" w:type="dxa"/>
          </w:tcPr>
          <w:p w14:paraId="69159A3A" w14:textId="2BBC62F1" w:rsidR="003C7FA4" w:rsidRPr="00BC3679" w:rsidRDefault="00A52CF9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Tarihsel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bakış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açıları</w:t>
            </w:r>
            <w:proofErr w:type="spellEnd"/>
          </w:p>
        </w:tc>
      </w:tr>
      <w:tr w:rsidR="007E5171" w:rsidRPr="00BC3679" w14:paraId="485D3A2A" w14:textId="77777777" w:rsidTr="007E5171">
        <w:trPr>
          <w:trHeight w:val="412"/>
        </w:trPr>
        <w:tc>
          <w:tcPr>
            <w:tcW w:w="948" w:type="dxa"/>
          </w:tcPr>
          <w:p w14:paraId="022645CA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570" w:type="dxa"/>
          </w:tcPr>
          <w:p w14:paraId="115015B3" w14:textId="25256150" w:rsidR="007E5171" w:rsidRPr="00BC3679" w:rsidRDefault="00A52CF9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tanımlanması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15D9C80C" w14:textId="77777777" w:rsidTr="007E5171">
        <w:trPr>
          <w:trHeight w:val="412"/>
        </w:trPr>
        <w:tc>
          <w:tcPr>
            <w:tcW w:w="948" w:type="dxa"/>
          </w:tcPr>
          <w:p w14:paraId="3B8D2856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570" w:type="dxa"/>
          </w:tcPr>
          <w:p w14:paraId="3151453B" w14:textId="49F39684" w:rsidR="007E5171" w:rsidRPr="00BC3679" w:rsidRDefault="00A52CF9" w:rsidP="007E517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Eğitim gereklilikleri </w:t>
            </w:r>
          </w:p>
        </w:tc>
      </w:tr>
      <w:tr w:rsidR="007E5171" w:rsidRPr="00BC3679" w14:paraId="48DAD695" w14:textId="77777777" w:rsidTr="007E5171">
        <w:trPr>
          <w:trHeight w:val="412"/>
        </w:trPr>
        <w:tc>
          <w:tcPr>
            <w:tcW w:w="948" w:type="dxa"/>
          </w:tcPr>
          <w:p w14:paraId="5EDC1F24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7570" w:type="dxa"/>
          </w:tcPr>
          <w:p w14:paraId="3DA39D6B" w14:textId="3EFB7DE3" w:rsidR="007E5171" w:rsidRPr="00BC3679" w:rsidRDefault="00A52CF9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deneyimi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çeşitleri</w:t>
            </w:r>
            <w:proofErr w:type="spellEnd"/>
          </w:p>
        </w:tc>
      </w:tr>
      <w:tr w:rsidR="007E5171" w:rsidRPr="00BC3679" w14:paraId="778BACF9" w14:textId="77777777" w:rsidTr="007E5171">
        <w:trPr>
          <w:trHeight w:val="412"/>
        </w:trPr>
        <w:tc>
          <w:tcPr>
            <w:tcW w:w="948" w:type="dxa"/>
          </w:tcPr>
          <w:p w14:paraId="0E66DB43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7570" w:type="dxa"/>
          </w:tcPr>
          <w:p w14:paraId="1AF6579C" w14:textId="501C60AA" w:rsidR="007E5171" w:rsidRPr="00BC3679" w:rsidRDefault="00A52CF9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deneyimi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çeşitleri</w:t>
            </w:r>
            <w:proofErr w:type="spellEnd"/>
          </w:p>
        </w:tc>
      </w:tr>
      <w:tr w:rsidR="007E5171" w:rsidRPr="00BC3679" w14:paraId="116D2156" w14:textId="77777777" w:rsidTr="007E5171">
        <w:trPr>
          <w:trHeight w:val="412"/>
        </w:trPr>
        <w:tc>
          <w:tcPr>
            <w:tcW w:w="948" w:type="dxa"/>
          </w:tcPr>
          <w:p w14:paraId="4477BA3A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7570" w:type="dxa"/>
          </w:tcPr>
          <w:p w14:paraId="403020F5" w14:textId="0FA09152" w:rsidR="007E5171" w:rsidRPr="00BC3679" w:rsidRDefault="00A52CF9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Teröpatik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süreçler</w:t>
            </w:r>
            <w:proofErr w:type="spellEnd"/>
            <w:r w:rsidR="00077B38"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2CF9" w:rsidRPr="00BC3679" w14:paraId="32CB15D9" w14:textId="77777777" w:rsidTr="007E5171">
        <w:trPr>
          <w:trHeight w:val="412"/>
        </w:trPr>
        <w:tc>
          <w:tcPr>
            <w:tcW w:w="948" w:type="dxa"/>
          </w:tcPr>
          <w:p w14:paraId="22A49AEA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7570" w:type="dxa"/>
          </w:tcPr>
          <w:p w14:paraId="1FD7BF1A" w14:textId="7EE6EDA2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</w:tr>
      <w:tr w:rsidR="00A52CF9" w:rsidRPr="00BC3679" w14:paraId="119CED5F" w14:textId="77777777" w:rsidTr="007E5171">
        <w:trPr>
          <w:trHeight w:val="412"/>
        </w:trPr>
        <w:tc>
          <w:tcPr>
            <w:tcW w:w="948" w:type="dxa"/>
          </w:tcPr>
          <w:p w14:paraId="3411F1A9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7570" w:type="dxa"/>
          </w:tcPr>
          <w:p w14:paraId="2F70B357" w14:textId="7C3765D2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yaklaşımları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2CF9" w:rsidRPr="00BC3679" w14:paraId="59FD17BC" w14:textId="77777777" w:rsidTr="007E5171">
        <w:trPr>
          <w:trHeight w:val="412"/>
        </w:trPr>
        <w:tc>
          <w:tcPr>
            <w:tcW w:w="948" w:type="dxa"/>
          </w:tcPr>
          <w:p w14:paraId="4C4B040B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7570" w:type="dxa"/>
          </w:tcPr>
          <w:p w14:paraId="74E6EC1D" w14:textId="744A20CC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yaklaşımları</w:t>
            </w:r>
            <w:proofErr w:type="spellEnd"/>
          </w:p>
        </w:tc>
      </w:tr>
      <w:tr w:rsidR="00A52CF9" w:rsidRPr="00BC3679" w14:paraId="364C3D4B" w14:textId="77777777" w:rsidTr="007E5171">
        <w:trPr>
          <w:trHeight w:val="412"/>
        </w:trPr>
        <w:tc>
          <w:tcPr>
            <w:tcW w:w="948" w:type="dxa"/>
          </w:tcPr>
          <w:p w14:paraId="5D84633B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7570" w:type="dxa"/>
          </w:tcPr>
          <w:p w14:paraId="3ADFC9C4" w14:textId="5AD92785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Terapi planlaması</w:t>
            </w:r>
          </w:p>
        </w:tc>
      </w:tr>
      <w:tr w:rsidR="00A52CF9" w:rsidRPr="00BC3679" w14:paraId="7C38E7C9" w14:textId="77777777" w:rsidTr="007E5171">
        <w:trPr>
          <w:trHeight w:val="412"/>
        </w:trPr>
        <w:tc>
          <w:tcPr>
            <w:tcW w:w="948" w:type="dxa"/>
          </w:tcPr>
          <w:p w14:paraId="25D83EF7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7570" w:type="dxa"/>
          </w:tcPr>
          <w:p w14:paraId="73F43F9A" w14:textId="57CE0B6E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Terapi planlaması</w:t>
            </w:r>
          </w:p>
        </w:tc>
      </w:tr>
      <w:tr w:rsidR="00A52CF9" w:rsidRPr="00BC3679" w14:paraId="7925396D" w14:textId="77777777" w:rsidTr="007E5171">
        <w:trPr>
          <w:trHeight w:val="412"/>
        </w:trPr>
        <w:tc>
          <w:tcPr>
            <w:tcW w:w="948" w:type="dxa"/>
          </w:tcPr>
          <w:p w14:paraId="2E20F924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7570" w:type="dxa"/>
          </w:tcPr>
          <w:p w14:paraId="42029BF1" w14:textId="1993206E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Müzik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araştırma</w:t>
            </w:r>
            <w:proofErr w:type="spellEnd"/>
          </w:p>
        </w:tc>
      </w:tr>
      <w:tr w:rsidR="00A52CF9" w:rsidRPr="00BC3679" w14:paraId="4CC26858" w14:textId="77777777" w:rsidTr="007E5171">
        <w:trPr>
          <w:trHeight w:val="412"/>
        </w:trPr>
        <w:tc>
          <w:tcPr>
            <w:tcW w:w="948" w:type="dxa"/>
          </w:tcPr>
          <w:p w14:paraId="2418F260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7570" w:type="dxa"/>
          </w:tcPr>
          <w:p w14:paraId="6C171661" w14:textId="30FA7112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Vaka tartışması</w:t>
            </w:r>
          </w:p>
        </w:tc>
      </w:tr>
      <w:tr w:rsidR="00A52CF9" w:rsidRPr="00BC3679" w14:paraId="653724A8" w14:textId="77777777" w:rsidTr="007E5171">
        <w:trPr>
          <w:trHeight w:val="412"/>
        </w:trPr>
        <w:tc>
          <w:tcPr>
            <w:tcW w:w="948" w:type="dxa"/>
          </w:tcPr>
          <w:p w14:paraId="5929E164" w14:textId="77777777" w:rsidR="00A52CF9" w:rsidRPr="00BC3679" w:rsidRDefault="00A52CF9" w:rsidP="00A52CF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7570" w:type="dxa"/>
          </w:tcPr>
          <w:p w14:paraId="36B8A8F9" w14:textId="37FEA822" w:rsidR="00A52CF9" w:rsidRPr="00BC3679" w:rsidRDefault="00A52CF9" w:rsidP="00A52CF9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Mesleki konular</w:t>
            </w:r>
          </w:p>
        </w:tc>
      </w:tr>
    </w:tbl>
    <w:p w14:paraId="01C54756" w14:textId="77777777" w:rsidR="00BC3679" w:rsidRPr="00BC3679" w:rsidRDefault="00BC3679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7A2F923F" w14:textId="0654817D" w:rsidR="00BC3679" w:rsidRDefault="00BC3679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72F84EBB" w14:textId="77777777" w:rsidR="002E6154" w:rsidRPr="00BC3679" w:rsidRDefault="002E615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2AF1DE72" w14:textId="0315E645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lastRenderedPageBreak/>
        <w:t>Dersin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Program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Çıktılarına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Katkısı</w:t>
      </w:r>
      <w:proofErr w:type="spellEnd"/>
    </w:p>
    <w:p w14:paraId="1BEF922F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Çıktıları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(DÇ)</w:t>
      </w:r>
    </w:p>
    <w:p w14:paraId="4F1D2E71" w14:textId="77777777" w:rsidR="005E3EAF" w:rsidRPr="00BC3679" w:rsidRDefault="003C7FA4" w:rsidP="005E3E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Öğrenciler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sonunda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şu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bilgi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becerileri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kazanacaklardır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:</w:t>
      </w:r>
    </w:p>
    <w:p w14:paraId="0C029494" w14:textId="7FB2FC16" w:rsidR="005E3EAF" w:rsidRPr="002E6154" w:rsidRDefault="002E6154" w:rsidP="005E3EA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r w:rsidRPr="002E6154">
        <w:rPr>
          <w:rFonts w:ascii="Times" w:eastAsia="Times New Roman" w:hAnsi="Times" w:cs="Open Sans"/>
          <w:sz w:val="24"/>
          <w:szCs w:val="24"/>
          <w:lang w:eastAsia="tr-TR"/>
        </w:rPr>
        <w:t>Müzik terapinin ne olduğu ve ne olmadığını tanımlayabilir.</w:t>
      </w:r>
    </w:p>
    <w:p w14:paraId="1506BFBA" w14:textId="157A40D6" w:rsidR="002E6154" w:rsidRDefault="002E6154" w:rsidP="005E3EA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Müzik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terapi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ve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sağlıkta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müzik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uygulamalarının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benzerliklerini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ve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farklarını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ayırt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edebilir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.</w:t>
      </w:r>
    </w:p>
    <w:p w14:paraId="7A797D0D" w14:textId="3FE9D269" w:rsidR="002E6154" w:rsidRDefault="002E6154" w:rsidP="002E6154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Sağlık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alanında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müzik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kullanımının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tarihsel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gelişimini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açıklar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.</w:t>
      </w:r>
    </w:p>
    <w:p w14:paraId="17A3C8E5" w14:textId="1407634F" w:rsidR="003C7FA4" w:rsidRDefault="002E6154" w:rsidP="002E6154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Müzik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terapi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model,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metod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ve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tekniklerini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ayırt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eder</w:t>
      </w:r>
      <w:proofErr w:type="spellEnd"/>
    </w:p>
    <w:p w14:paraId="17B13341" w14:textId="3EE493FC" w:rsidR="002E6154" w:rsidRDefault="002E6154" w:rsidP="002E6154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Müzik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terapi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konusundaki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temel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ulusal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ve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uluslararası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kaynak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ve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kurumları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listeler</w:t>
      </w:r>
      <w:proofErr w:type="spellEnd"/>
      <w:r w:rsidRPr="002E6154">
        <w:rPr>
          <w:rFonts w:ascii="Times" w:eastAsia="Arial Unicode MS" w:hAnsi="Times" w:cs="Times New Roman"/>
          <w:sz w:val="24"/>
          <w:szCs w:val="24"/>
          <w:bdr w:val="nil"/>
          <w:lang w:val="en-US"/>
        </w:rPr>
        <w:t>.</w:t>
      </w:r>
    </w:p>
    <w:p w14:paraId="620E0210" w14:textId="0839DAF8" w:rsidR="002E6154" w:rsidRPr="002E6154" w:rsidRDefault="002E6154" w:rsidP="002E61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</w:p>
    <w:p w14:paraId="015EAC99" w14:textId="77777777" w:rsidR="003C7FA4" w:rsidRPr="00BC3679" w:rsidRDefault="003C7FA4" w:rsidP="00BC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2E6154" w:rsidRPr="00BC3679" w14:paraId="79359F60" w14:textId="7FB0402E" w:rsidTr="002E6154">
        <w:trPr>
          <w:trHeight w:val="412"/>
        </w:trPr>
        <w:tc>
          <w:tcPr>
            <w:tcW w:w="534" w:type="dxa"/>
          </w:tcPr>
          <w:p w14:paraId="28100DED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AF2F440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Çıktısı</w:t>
            </w:r>
            <w:proofErr w:type="spellEnd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2590EE3E" w14:textId="77777777" w:rsidR="002E6154" w:rsidRPr="00BC3679" w:rsidRDefault="002E615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DÇ1</w:t>
            </w:r>
          </w:p>
        </w:tc>
        <w:tc>
          <w:tcPr>
            <w:tcW w:w="709" w:type="dxa"/>
          </w:tcPr>
          <w:p w14:paraId="44107815" w14:textId="77777777" w:rsidR="002E6154" w:rsidRPr="00BC3679" w:rsidRDefault="002E615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DÇ2</w:t>
            </w:r>
          </w:p>
        </w:tc>
        <w:tc>
          <w:tcPr>
            <w:tcW w:w="709" w:type="dxa"/>
          </w:tcPr>
          <w:p w14:paraId="46DB9EA0" w14:textId="77777777" w:rsidR="002E6154" w:rsidRPr="00BC3679" w:rsidRDefault="002E615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DÇ3</w:t>
            </w:r>
          </w:p>
        </w:tc>
        <w:tc>
          <w:tcPr>
            <w:tcW w:w="709" w:type="dxa"/>
          </w:tcPr>
          <w:p w14:paraId="72612BF3" w14:textId="77777777" w:rsidR="002E6154" w:rsidRPr="00BC3679" w:rsidRDefault="002E615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DÇ4</w:t>
            </w:r>
          </w:p>
        </w:tc>
        <w:tc>
          <w:tcPr>
            <w:tcW w:w="709" w:type="dxa"/>
          </w:tcPr>
          <w:p w14:paraId="279B248A" w14:textId="37DB739F" w:rsidR="002E6154" w:rsidRPr="00BC3679" w:rsidRDefault="002E615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DÇ5</w:t>
            </w:r>
          </w:p>
        </w:tc>
      </w:tr>
      <w:tr w:rsidR="002E6154" w:rsidRPr="00BC3679" w14:paraId="00DB3B78" w14:textId="05D5977B" w:rsidTr="002E6154">
        <w:trPr>
          <w:trHeight w:val="412"/>
        </w:trPr>
        <w:tc>
          <w:tcPr>
            <w:tcW w:w="534" w:type="dxa"/>
          </w:tcPr>
          <w:p w14:paraId="19301A64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14:paraId="6571332F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alt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dallarındaki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farklı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kavramları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incelemek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karşılaştırmak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42C58F81" w14:textId="631B35E9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301F2440" w14:textId="78EF6BAE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BE83AB" w14:textId="3065BB55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68CDF77B" w14:textId="0C3AB660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E20F8E3" w14:textId="5B28E93F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2E6154" w:rsidRPr="00BC3679" w14:paraId="37D7A5B5" w14:textId="01F906F1" w:rsidTr="002E6154">
        <w:trPr>
          <w:trHeight w:val="881"/>
        </w:trPr>
        <w:tc>
          <w:tcPr>
            <w:tcW w:w="534" w:type="dxa"/>
          </w:tcPr>
          <w:p w14:paraId="75851813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14:paraId="0DF97490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kritik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düşünme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çeşitli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alanlarında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alanla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ilgili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çağdaş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yöntemlerle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çözümleyebilmek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35F9674B" w14:textId="437347FB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FC7DD1" w14:textId="7376D211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60737F09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9DD5A61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98C035F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587AFA15" w14:textId="1B6A39B8" w:rsidTr="002E6154">
        <w:trPr>
          <w:trHeight w:val="412"/>
        </w:trPr>
        <w:tc>
          <w:tcPr>
            <w:tcW w:w="534" w:type="dxa"/>
          </w:tcPr>
          <w:p w14:paraId="66FCD397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14:paraId="0C4E2299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kullanarak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olguları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olayları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yorumlayabilme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tanımlayabilme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edebilme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araştırmalara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kanıtlara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dayalı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çözüm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önerileri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geliştirebilme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sahiptir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2C91F9C9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286251" w14:textId="3F9577FD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50B682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768773" w14:textId="389D507C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5350908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48371A44" w14:textId="6EA852CB" w:rsidTr="002E6154">
        <w:trPr>
          <w:trHeight w:val="412"/>
        </w:trPr>
        <w:tc>
          <w:tcPr>
            <w:tcW w:w="534" w:type="dxa"/>
          </w:tcPr>
          <w:p w14:paraId="00D8EAF3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14:paraId="1CBA0E4C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tasarlamada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profesyonel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uygulamadaki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BE64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konuları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tartışmak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eleştirmek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28C33EEC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551A362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7F5DF47" w14:textId="511792E0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835B8A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A7D1C3F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4990377B" w14:textId="3CB1894F" w:rsidTr="002E6154">
        <w:trPr>
          <w:trHeight w:val="412"/>
        </w:trPr>
        <w:tc>
          <w:tcPr>
            <w:tcW w:w="534" w:type="dxa"/>
          </w:tcPr>
          <w:p w14:paraId="04F77B33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14:paraId="253DF47F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ölçüm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mülakat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tekniklerindeki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prosedürleri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kuralları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açıklamak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düzeyde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becerisi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54D982FA" w14:textId="5D7EC36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7829EAB" w14:textId="106A6A5A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90DC48A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39A160" w14:textId="49D067BF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01ED6F2C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3C92BADA" w14:textId="0CCEABCD" w:rsidTr="002E6154">
        <w:trPr>
          <w:trHeight w:val="412"/>
        </w:trPr>
        <w:tc>
          <w:tcPr>
            <w:tcW w:w="534" w:type="dxa"/>
          </w:tcPr>
          <w:p w14:paraId="3CAD4BFD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819" w:type="dxa"/>
          </w:tcPr>
          <w:p w14:paraId="5F490EBC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Pozitivist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yöntemin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kurallarına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benimsemek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deseni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tasarlama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toplama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sonuçları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olarak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raporlamak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14:paraId="10C73CBC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671A421" w14:textId="7C4EACD9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B269CC" w14:textId="7149FDCF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91687D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A18F85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5ADE340F" w14:textId="240BCD0E" w:rsidTr="002E6154">
        <w:trPr>
          <w:trHeight w:val="412"/>
        </w:trPr>
        <w:tc>
          <w:tcPr>
            <w:tcW w:w="534" w:type="dxa"/>
          </w:tcPr>
          <w:p w14:paraId="64171ED3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819" w:type="dxa"/>
          </w:tcPr>
          <w:p w14:paraId="6606787D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düşünmenin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ilkelerini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kazanmak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disiplinlerde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eleştirel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bakış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açısıyla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ayrıştırabilmek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bütünleştirebilmek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21494C92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40B4BDE" w14:textId="4B88EE14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106A3A6D" w14:textId="5F224716" w:rsidR="002E6154" w:rsidRPr="00BC3679" w:rsidRDefault="00744846" w:rsidP="003C7FA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5650129B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C6646E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4310315B" w14:textId="1D07C1B4" w:rsidTr="002E6154">
        <w:trPr>
          <w:trHeight w:val="412"/>
        </w:trPr>
        <w:tc>
          <w:tcPr>
            <w:tcW w:w="534" w:type="dxa"/>
          </w:tcPr>
          <w:p w14:paraId="197FFD84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819" w:type="dxa"/>
          </w:tcPr>
          <w:p w14:paraId="5E2D712A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Bilgiye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ulaşmak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bilgiyi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yaymak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için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kullanılan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gerekli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teknolojilerini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yetkinliği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05B4BA7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71EEA8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DD6438" w14:textId="160AAFEE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5A933B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9EE60A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3235D02E" w14:textId="63EBEAB1" w:rsidTr="002E6154">
        <w:trPr>
          <w:trHeight w:val="412"/>
        </w:trPr>
        <w:tc>
          <w:tcPr>
            <w:tcW w:w="534" w:type="dxa"/>
          </w:tcPr>
          <w:p w14:paraId="5F42573C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819" w:type="dxa"/>
          </w:tcPr>
          <w:p w14:paraId="0F197736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Sözlü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yazılı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Türkçe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hem de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yabancı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dilde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etkin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5EFF00FF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D6212F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C3ED26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6DCC5B" w14:textId="330C0312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977911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5E37A61C" w14:textId="0A0C692E" w:rsidTr="002E6154">
        <w:trPr>
          <w:trHeight w:val="412"/>
        </w:trPr>
        <w:tc>
          <w:tcPr>
            <w:tcW w:w="534" w:type="dxa"/>
          </w:tcPr>
          <w:p w14:paraId="55804E2D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19" w:type="dxa"/>
          </w:tcPr>
          <w:p w14:paraId="3643E98B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Bireysel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çok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disiplinli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takımlarında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etkili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çalışmak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6634120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8C65B58" w14:textId="1D98416F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AAF5F7" w14:textId="6CB602D9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AAEB03" w14:textId="6EDE998F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2BC1AF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46FA3B79" w14:textId="3EB2245A" w:rsidTr="002E6154">
        <w:trPr>
          <w:trHeight w:val="412"/>
        </w:trPr>
        <w:tc>
          <w:tcPr>
            <w:tcW w:w="534" w:type="dxa"/>
          </w:tcPr>
          <w:p w14:paraId="17EC6926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14:paraId="638A9CA3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Kişilerarası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kültürel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çeşitliliğe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saygı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toplumsal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sorumluluğa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57A7FE24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2CD9E9E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4AF0B0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0048E3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3295900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E6154" w:rsidRPr="00BC3679" w14:paraId="26CA6978" w14:textId="744839B3" w:rsidTr="002E6154">
        <w:trPr>
          <w:trHeight w:val="412"/>
        </w:trPr>
        <w:tc>
          <w:tcPr>
            <w:tcW w:w="534" w:type="dxa"/>
          </w:tcPr>
          <w:p w14:paraId="08C86841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19" w:type="dxa"/>
          </w:tcPr>
          <w:p w14:paraId="0B542A2F" w14:textId="77777777" w:rsidR="002E6154" w:rsidRPr="00BC3679" w:rsidRDefault="002E615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dirençlilik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kişisel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gelişimin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farkında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36E2F2C4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880AB1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D0EF8B2" w14:textId="766ECC4F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7267C10B" w14:textId="751309E0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11DA8D07" w14:textId="77777777" w:rsidR="002E6154" w:rsidRPr="00BC3679" w:rsidRDefault="002E615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E3CDC03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FD13A81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8BE316A" w14:textId="151F1C0E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583FBC8" w14:textId="77777777" w:rsidR="00F61E22" w:rsidRPr="00BC3679" w:rsidRDefault="00F61E22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37AA573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C7FA4" w:rsidRPr="00BC3679" w14:paraId="57FD35C0" w14:textId="77777777" w:rsidTr="003C66F9">
        <w:trPr>
          <w:trHeight w:val="301"/>
        </w:trPr>
        <w:tc>
          <w:tcPr>
            <w:tcW w:w="4479" w:type="dxa"/>
            <w:gridSpan w:val="4"/>
          </w:tcPr>
          <w:p w14:paraId="6329DC8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Değerlendirmesi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35053BDC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2803EE61" w14:textId="77777777" w:rsidR="003C7FA4" w:rsidRPr="00BC3679" w:rsidRDefault="003C7FA4" w:rsidP="003C7FA4">
            <w:pPr>
              <w:ind w:right="-247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14:paraId="39DCBAB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14:paraId="63F47A5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6BF9B6E6" w14:textId="77777777" w:rsidTr="003C66F9">
        <w:trPr>
          <w:trHeight w:val="301"/>
        </w:trPr>
        <w:tc>
          <w:tcPr>
            <w:tcW w:w="1773" w:type="dxa"/>
            <w:vMerge/>
          </w:tcPr>
          <w:p w14:paraId="24D636DF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vMerge/>
          </w:tcPr>
          <w:p w14:paraId="4903DB9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40BC36A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Zaman </w:t>
            </w:r>
          </w:p>
          <w:p w14:paraId="42547C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Saat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  <w:p w14:paraId="3E3E963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Hazırlık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Zamanı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Dâhil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14" w:type="dxa"/>
          </w:tcPr>
          <w:p w14:paraId="02149DE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2461C8DA" w14:textId="77777777" w:rsidTr="003C66F9">
        <w:trPr>
          <w:trHeight w:val="301"/>
        </w:trPr>
        <w:tc>
          <w:tcPr>
            <w:tcW w:w="1773" w:type="dxa"/>
          </w:tcPr>
          <w:p w14:paraId="65EA808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14:paraId="7052A0D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14:paraId="2CF0A54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14:paraId="2702757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42</w:t>
            </w:r>
          </w:p>
        </w:tc>
      </w:tr>
      <w:tr w:rsidR="003C7FA4" w:rsidRPr="00BC3679" w14:paraId="4F5D93E7" w14:textId="77777777" w:rsidTr="003C66F9">
        <w:trPr>
          <w:trHeight w:val="289"/>
        </w:trPr>
        <w:tc>
          <w:tcPr>
            <w:tcW w:w="1773" w:type="dxa"/>
          </w:tcPr>
          <w:p w14:paraId="56630C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14:paraId="30E3FC12" w14:textId="4238CF3C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354A0965" w14:textId="6E200F4B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74572CC6" w14:textId="116E304C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326BDB1D" w14:textId="77777777" w:rsidTr="003C66F9">
        <w:trPr>
          <w:trHeight w:val="301"/>
        </w:trPr>
        <w:tc>
          <w:tcPr>
            <w:tcW w:w="1773" w:type="dxa"/>
          </w:tcPr>
          <w:p w14:paraId="53FFD50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14:paraId="189BDAF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2E2BE769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65596B0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2CCFDD7E" w14:textId="77777777" w:rsidTr="003C66F9">
        <w:trPr>
          <w:trHeight w:val="301"/>
        </w:trPr>
        <w:tc>
          <w:tcPr>
            <w:tcW w:w="1773" w:type="dxa"/>
          </w:tcPr>
          <w:p w14:paraId="6EC1ACC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Dönem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170DD51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08B5816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631BA96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A9DC6D0" w14:textId="77777777" w:rsidTr="003C66F9">
        <w:trPr>
          <w:trHeight w:val="301"/>
        </w:trPr>
        <w:tc>
          <w:tcPr>
            <w:tcW w:w="1773" w:type="dxa"/>
          </w:tcPr>
          <w:p w14:paraId="3D70EBD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14:paraId="301357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71112B5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AB8478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51BEAEE1" w14:textId="77777777" w:rsidTr="003C66F9">
        <w:trPr>
          <w:trHeight w:val="301"/>
        </w:trPr>
        <w:tc>
          <w:tcPr>
            <w:tcW w:w="1773" w:type="dxa"/>
          </w:tcPr>
          <w:p w14:paraId="21E0E43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4B9F0258" w14:textId="2AEFE75A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2E29BBF1" w14:textId="412E5E99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121BDB74" w14:textId="5337DE49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BDC3176" w14:textId="77777777" w:rsidTr="003C66F9">
        <w:trPr>
          <w:trHeight w:val="301"/>
        </w:trPr>
        <w:tc>
          <w:tcPr>
            <w:tcW w:w="1773" w:type="dxa"/>
          </w:tcPr>
          <w:p w14:paraId="1B47E15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14:paraId="2F9D1DF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3992CE7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5007873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04616B7D" w14:textId="77777777" w:rsidTr="003C66F9">
        <w:trPr>
          <w:trHeight w:val="289"/>
        </w:trPr>
        <w:tc>
          <w:tcPr>
            <w:tcW w:w="1773" w:type="dxa"/>
          </w:tcPr>
          <w:p w14:paraId="596250D6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14:paraId="2BC3FAD5" w14:textId="605E6AC3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187A9619" w14:textId="36DD17E2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1DCF2F5" w14:textId="3BEAA25A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5EBDBB27" w14:textId="77777777" w:rsidTr="003C66F9">
        <w:trPr>
          <w:trHeight w:val="301"/>
        </w:trPr>
        <w:tc>
          <w:tcPr>
            <w:tcW w:w="1773" w:type="dxa"/>
          </w:tcPr>
          <w:p w14:paraId="28653CA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Sunum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4ED4ACE2" w14:textId="32E2E692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14:paraId="4FF92840" w14:textId="48697FB9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14" w:type="dxa"/>
          </w:tcPr>
          <w:p w14:paraId="248A0A66" w14:textId="3EED6D43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15</w:t>
            </w:r>
          </w:p>
        </w:tc>
      </w:tr>
      <w:tr w:rsidR="003C7FA4" w:rsidRPr="00BC3679" w14:paraId="245B6F2C" w14:textId="77777777" w:rsidTr="003C66F9">
        <w:trPr>
          <w:trHeight w:val="301"/>
        </w:trPr>
        <w:tc>
          <w:tcPr>
            <w:tcW w:w="1773" w:type="dxa"/>
          </w:tcPr>
          <w:p w14:paraId="2FC1A7A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14:paraId="334A6FE4" w14:textId="5C8AA61B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14:paraId="49B341B7" w14:textId="3BC14411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14" w:type="dxa"/>
          </w:tcPr>
          <w:p w14:paraId="7CECD2AF" w14:textId="2555842E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24</w:t>
            </w:r>
          </w:p>
        </w:tc>
      </w:tr>
      <w:tr w:rsidR="003C7FA4" w:rsidRPr="00BC3679" w14:paraId="0D4338F8" w14:textId="77777777" w:rsidTr="003C66F9">
        <w:trPr>
          <w:trHeight w:val="301"/>
        </w:trPr>
        <w:tc>
          <w:tcPr>
            <w:tcW w:w="1773" w:type="dxa"/>
          </w:tcPr>
          <w:p w14:paraId="62C4BE8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14:paraId="30CE2F3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70F51EB9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06A89AB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07419FC6" w14:textId="77777777" w:rsidTr="003C66F9">
        <w:trPr>
          <w:trHeight w:val="301"/>
        </w:trPr>
        <w:tc>
          <w:tcPr>
            <w:tcW w:w="1773" w:type="dxa"/>
          </w:tcPr>
          <w:p w14:paraId="66ED2C3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14:paraId="33C5A3E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402CB22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0DBC2E1C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233558B" w14:textId="77777777" w:rsidTr="003C66F9">
        <w:trPr>
          <w:trHeight w:val="289"/>
        </w:trPr>
        <w:tc>
          <w:tcPr>
            <w:tcW w:w="1773" w:type="dxa"/>
          </w:tcPr>
          <w:p w14:paraId="7B9B19DC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Özel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Süresi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083C103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0346310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6D270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10C5198C" w14:textId="77777777" w:rsidTr="003C66F9">
        <w:trPr>
          <w:trHeight w:val="301"/>
        </w:trPr>
        <w:tc>
          <w:tcPr>
            <w:tcW w:w="1773" w:type="dxa"/>
          </w:tcPr>
          <w:p w14:paraId="46657AF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Diğer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Bireysel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Çalışma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dxa"/>
          </w:tcPr>
          <w:p w14:paraId="3E2ACB1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14:paraId="0ABE1324" w14:textId="4D9BC69C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4" w:type="dxa"/>
          </w:tcPr>
          <w:p w14:paraId="38F10121" w14:textId="7BDFA82F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28</w:t>
            </w:r>
          </w:p>
        </w:tc>
      </w:tr>
      <w:tr w:rsidR="003C7FA4" w:rsidRPr="00BC3679" w14:paraId="7EBF8A3E" w14:textId="77777777" w:rsidTr="003C66F9">
        <w:trPr>
          <w:trHeight w:val="301"/>
        </w:trPr>
        <w:tc>
          <w:tcPr>
            <w:tcW w:w="1773" w:type="dxa"/>
          </w:tcPr>
          <w:p w14:paraId="7471B91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49D5BDA2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27D8BE7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14:paraId="410F305F" w14:textId="22D2B17E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  <w:r w:rsidR="00F61E22" w:rsidRPr="00BC3679">
              <w:rPr>
                <w:sz w:val="24"/>
                <w:szCs w:val="24"/>
                <w:lang w:val="en-US"/>
              </w:rPr>
              <w:t>3</w:t>
            </w:r>
            <w:r w:rsidR="00077B38" w:rsidRPr="00BC3679">
              <w:rPr>
                <w:sz w:val="24"/>
                <w:szCs w:val="24"/>
                <w:lang w:val="en-US"/>
              </w:rPr>
              <w:t>3</w:t>
            </w:r>
          </w:p>
        </w:tc>
      </w:tr>
      <w:tr w:rsidR="003C7FA4" w:rsidRPr="00BC3679" w14:paraId="41DFA5DE" w14:textId="77777777" w:rsidTr="003C66F9">
        <w:trPr>
          <w:trHeight w:val="301"/>
        </w:trPr>
        <w:tc>
          <w:tcPr>
            <w:tcW w:w="1773" w:type="dxa"/>
          </w:tcPr>
          <w:p w14:paraId="152775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25D8FE0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09535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/25</w:t>
            </w:r>
          </w:p>
        </w:tc>
        <w:tc>
          <w:tcPr>
            <w:tcW w:w="814" w:type="dxa"/>
          </w:tcPr>
          <w:p w14:paraId="4737C725" w14:textId="1C11BD08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5.3</w:t>
            </w:r>
            <w:r w:rsidR="00077B38" w:rsidRPr="00BC3679">
              <w:rPr>
                <w:sz w:val="24"/>
                <w:szCs w:val="24"/>
                <w:lang w:val="en-US"/>
              </w:rPr>
              <w:t>2</w:t>
            </w:r>
          </w:p>
        </w:tc>
      </w:tr>
      <w:tr w:rsidR="003C7FA4" w:rsidRPr="00BC3679" w14:paraId="6850B3AA" w14:textId="77777777" w:rsidTr="003C66F9">
        <w:trPr>
          <w:trHeight w:val="301"/>
        </w:trPr>
        <w:tc>
          <w:tcPr>
            <w:tcW w:w="1773" w:type="dxa"/>
          </w:tcPr>
          <w:p w14:paraId="3BEAFDC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41179E9A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22C60D2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14:paraId="3B8B4130" w14:textId="16344E21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7B0969CE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32CF700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F0C9BE1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01C501A0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DDC0667" w14:textId="6FA60F8B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Öğretim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Yöntem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ve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Teknikleri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:</w:t>
      </w:r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</w:p>
    <w:p w14:paraId="7CEE8EDC" w14:textId="6808648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Hazırlayan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:</w:t>
      </w:r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Tarih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: </w:t>
      </w:r>
    </w:p>
    <w:p w14:paraId="66EB7EFD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30815F5" w14:textId="77777777" w:rsidR="00AE38A4" w:rsidRPr="00BC3679" w:rsidRDefault="00AE38A4">
      <w:pPr>
        <w:rPr>
          <w:rFonts w:ascii="Times New Roman" w:hAnsi="Times New Roman" w:cs="Times New Roman"/>
          <w:sz w:val="24"/>
          <w:szCs w:val="24"/>
        </w:rPr>
      </w:pPr>
    </w:p>
    <w:sectPr w:rsidR="00AE38A4" w:rsidRPr="00BC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535A"/>
    <w:multiLevelType w:val="multilevel"/>
    <w:tmpl w:val="D6564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2ED96989"/>
    <w:multiLevelType w:val="hybridMultilevel"/>
    <w:tmpl w:val="EA3C7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10F7"/>
    <w:multiLevelType w:val="hybridMultilevel"/>
    <w:tmpl w:val="D286F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1690"/>
    <w:multiLevelType w:val="hybridMultilevel"/>
    <w:tmpl w:val="F7DC3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4"/>
    <w:rsid w:val="00077B38"/>
    <w:rsid w:val="002E6154"/>
    <w:rsid w:val="003C7FA4"/>
    <w:rsid w:val="004520D6"/>
    <w:rsid w:val="004A4524"/>
    <w:rsid w:val="005E3EAF"/>
    <w:rsid w:val="00744846"/>
    <w:rsid w:val="007477A7"/>
    <w:rsid w:val="007E5171"/>
    <w:rsid w:val="00A52CF9"/>
    <w:rsid w:val="00AE38A4"/>
    <w:rsid w:val="00BC3679"/>
    <w:rsid w:val="00DD4B7D"/>
    <w:rsid w:val="00F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67E"/>
  <w15:docId w15:val="{B597B013-8E88-DF4C-92A6-9F11436F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F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D0BE-9308-45ED-940A-90DE6EC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Elif Yildirim</cp:lastModifiedBy>
  <cp:revision>3</cp:revision>
  <dcterms:created xsi:type="dcterms:W3CDTF">2021-05-04T12:46:00Z</dcterms:created>
  <dcterms:modified xsi:type="dcterms:W3CDTF">2021-05-04T13:03:00Z</dcterms:modified>
</cp:coreProperties>
</file>