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F3" w:rsidRDefault="004348C7">
      <w:bookmarkStart w:id="0" w:name="_GoBack"/>
      <w:bookmarkEnd w:id="0"/>
    </w:p>
    <w:p w:rsidR="00690E7A" w:rsidRDefault="00690E7A" w:rsidP="00690E7A">
      <w:pPr>
        <w:spacing w:before="100" w:beforeAutospacing="1" w:after="100" w:afterAutospacing="1" w:line="240" w:lineRule="atLeast"/>
        <w:ind w:left="150"/>
        <w:jc w:val="center"/>
        <w:rPr>
          <w:b/>
          <w:bCs/>
          <w:color w:val="002264"/>
        </w:rPr>
      </w:pPr>
      <w:r>
        <w:rPr>
          <w:b/>
          <w:bCs/>
          <w:color w:val="002264"/>
        </w:rPr>
        <w:t>İktisadi v</w:t>
      </w:r>
      <w:r w:rsidRPr="00B03194">
        <w:rPr>
          <w:b/>
          <w:bCs/>
          <w:color w:val="002264"/>
        </w:rPr>
        <w:t xml:space="preserve">e İdari Bilimler Fakültesi Uluslararası İlişkiler Bölümü Araştırma Görevlisi Alımı </w:t>
      </w:r>
      <w:r>
        <w:rPr>
          <w:b/>
          <w:bCs/>
          <w:color w:val="002264"/>
        </w:rPr>
        <w:t>Son</w:t>
      </w:r>
      <w:r w:rsidRPr="00B03194">
        <w:rPr>
          <w:b/>
          <w:bCs/>
          <w:color w:val="002264"/>
        </w:rPr>
        <w:t xml:space="preserve"> Değerlendirme Sonuçları</w:t>
      </w:r>
    </w:p>
    <w:p w:rsidR="00690E7A" w:rsidRPr="002A0C68" w:rsidRDefault="00690E7A" w:rsidP="00690E7A">
      <w:pPr>
        <w:spacing w:before="100" w:beforeAutospacing="1" w:after="100" w:afterAutospacing="1" w:line="240" w:lineRule="atLeast"/>
        <w:ind w:left="150"/>
        <w:jc w:val="center"/>
        <w:rPr>
          <w:b/>
          <w:bCs/>
          <w:color w:val="002264"/>
        </w:rPr>
      </w:pPr>
      <w:r>
        <w:rPr>
          <w:b/>
          <w:bCs/>
          <w:color w:val="002264"/>
        </w:rPr>
        <w:t>(24.05.2016)</w:t>
      </w:r>
    </w:p>
    <w:p w:rsidR="009D767D" w:rsidRPr="009D767D" w:rsidRDefault="009D767D" w:rsidP="009D767D">
      <w:pPr>
        <w:spacing w:before="100" w:beforeAutospacing="1" w:after="100" w:afterAutospacing="1" w:line="240" w:lineRule="atLeast"/>
        <w:jc w:val="both"/>
        <w:rPr>
          <w:color w:val="000000"/>
        </w:rPr>
      </w:pPr>
      <w:r w:rsidRPr="009D767D">
        <w:rPr>
          <w:color w:val="000000"/>
        </w:rPr>
        <w:t xml:space="preserve">İktisadi ve İdari Bilimler Fakültesi </w:t>
      </w:r>
      <w:r>
        <w:rPr>
          <w:color w:val="000000"/>
        </w:rPr>
        <w:t xml:space="preserve">Uluslararası İlişkiler </w:t>
      </w:r>
      <w:r w:rsidRPr="009D767D">
        <w:rPr>
          <w:color w:val="000000"/>
        </w:rPr>
        <w:t xml:space="preserve">Bölümü'ne Araştırma Görevlisi alımı ile ilgili olarak "Öğretim Üyesi Dışındaki Öğretim Elemanı Kadrolarına Yapılacak Atamalarda Uygulanacak Merkezi Sınav ile Giriş Sınavlarına İlişkin Usul ve Esaslar Hakkında Yönetmelik" hükümleri uyarınca Yükseköğretim Kurulu Başkanlığı web sayfasında ilan edilen 1 araştırma görevlisi kadrosuna yapılan başvuruların ön değerlendirmesinden geçen ve </w:t>
      </w:r>
      <w:r>
        <w:rPr>
          <w:color w:val="000000"/>
        </w:rPr>
        <w:t>17.Mayıs.2016</w:t>
      </w:r>
      <w:r w:rsidRPr="009D767D">
        <w:rPr>
          <w:color w:val="000000"/>
        </w:rPr>
        <w:t xml:space="preserve"> </w:t>
      </w:r>
      <w:r>
        <w:rPr>
          <w:color w:val="000000"/>
        </w:rPr>
        <w:t>Salı</w:t>
      </w:r>
      <w:r w:rsidRPr="009D767D">
        <w:rPr>
          <w:color w:val="000000"/>
        </w:rPr>
        <w:t xml:space="preserve"> günü yapılan yazılı sınav sonucunda sıralamaya giren asil ve yedek adaylar aşağıda belirtilmiştir.</w:t>
      </w:r>
    </w:p>
    <w:p w:rsidR="009D767D" w:rsidRDefault="009D767D" w:rsidP="00690E7A">
      <w:pPr>
        <w:spacing w:before="100" w:beforeAutospacing="1" w:after="100" w:afterAutospacing="1" w:line="240" w:lineRule="atLeast"/>
        <w:jc w:val="both"/>
        <w:rPr>
          <w:color w:val="000000"/>
        </w:rPr>
      </w:pPr>
    </w:p>
    <w:p w:rsidR="009D767D" w:rsidRDefault="009D767D" w:rsidP="00690E7A">
      <w:pPr>
        <w:spacing w:before="100" w:beforeAutospacing="1" w:after="100" w:afterAutospacing="1" w:line="240" w:lineRule="atLeast"/>
        <w:jc w:val="both"/>
        <w:rPr>
          <w:color w:val="000000"/>
        </w:rPr>
      </w:pPr>
      <w:r>
        <w:rPr>
          <w:color w:val="000000"/>
        </w:rPr>
        <w:t>İİBF Dekanlığı</w:t>
      </w:r>
    </w:p>
    <w:p w:rsidR="009D767D" w:rsidRDefault="009D767D" w:rsidP="00690E7A">
      <w:pPr>
        <w:spacing w:before="100" w:beforeAutospacing="1" w:after="100" w:afterAutospacing="1" w:line="240" w:lineRule="atLeast"/>
        <w:jc w:val="both"/>
        <w:rPr>
          <w:color w:val="000000"/>
        </w:rPr>
      </w:pPr>
      <w:r>
        <w:rPr>
          <w:color w:val="000000"/>
        </w:rPr>
        <w:t>Uluslararası İlişkiler Araştırma Görevlisi Alımı Son Değerlendirme Sonuçları:</w:t>
      </w:r>
    </w:p>
    <w:tbl>
      <w:tblPr>
        <w:tblW w:w="8808" w:type="dxa"/>
        <w:tblCellSpacing w:w="15" w:type="dxa"/>
        <w:shd w:val="clear" w:color="auto" w:fill="F2F2F2"/>
        <w:tblCellMar>
          <w:left w:w="0" w:type="dxa"/>
          <w:right w:w="0" w:type="dxa"/>
        </w:tblCellMar>
        <w:tblLook w:val="04A0" w:firstRow="1" w:lastRow="0" w:firstColumn="1" w:lastColumn="0" w:noHBand="0" w:noVBand="1"/>
      </w:tblPr>
      <w:tblGrid>
        <w:gridCol w:w="1382"/>
        <w:gridCol w:w="5082"/>
        <w:gridCol w:w="2344"/>
      </w:tblGrid>
      <w:tr w:rsidR="009D767D" w:rsidTr="009D767D">
        <w:trPr>
          <w:trHeight w:val="220"/>
          <w:tblCellSpacing w:w="15" w:type="dxa"/>
        </w:trPr>
        <w:tc>
          <w:tcPr>
            <w:tcW w:w="1337" w:type="dxa"/>
            <w:tcBorders>
              <w:top w:val="nil"/>
              <w:left w:val="nil"/>
              <w:bottom w:val="nil"/>
              <w:right w:val="nil"/>
            </w:tcBorders>
            <w:shd w:val="clear" w:color="auto" w:fill="FCC30A"/>
            <w:tcMar>
              <w:top w:w="150" w:type="dxa"/>
              <w:left w:w="150" w:type="dxa"/>
              <w:bottom w:w="150" w:type="dxa"/>
              <w:right w:w="150" w:type="dxa"/>
            </w:tcMar>
            <w:vAlign w:val="bottom"/>
            <w:hideMark/>
          </w:tcPr>
          <w:p w:rsidR="009D767D" w:rsidRDefault="009D767D" w:rsidP="00B71B8D">
            <w:pPr>
              <w:spacing w:line="225" w:lineRule="atLeast"/>
              <w:rPr>
                <w:rFonts w:ascii="inherit" w:hAnsi="inherit" w:cs="Arial"/>
                <w:b/>
                <w:bCs/>
                <w:color w:val="454545"/>
                <w:sz w:val="17"/>
                <w:szCs w:val="17"/>
              </w:rPr>
            </w:pPr>
            <w:r>
              <w:rPr>
                <w:rFonts w:ascii="inherit" w:hAnsi="inherit" w:cs="Arial"/>
                <w:b/>
                <w:bCs/>
                <w:color w:val="454545"/>
                <w:sz w:val="17"/>
                <w:szCs w:val="17"/>
              </w:rPr>
              <w:t>Sıra No</w:t>
            </w:r>
          </w:p>
        </w:tc>
        <w:tc>
          <w:tcPr>
            <w:tcW w:w="5052" w:type="dxa"/>
            <w:tcBorders>
              <w:top w:val="nil"/>
              <w:left w:val="nil"/>
              <w:bottom w:val="nil"/>
              <w:right w:val="nil"/>
            </w:tcBorders>
            <w:shd w:val="clear" w:color="auto" w:fill="FCC30A"/>
            <w:tcMar>
              <w:top w:w="150" w:type="dxa"/>
              <w:left w:w="150" w:type="dxa"/>
              <w:bottom w:w="150" w:type="dxa"/>
              <w:right w:w="150" w:type="dxa"/>
            </w:tcMar>
            <w:vAlign w:val="bottom"/>
            <w:hideMark/>
          </w:tcPr>
          <w:p w:rsidR="009D767D" w:rsidRDefault="009D767D" w:rsidP="00B71B8D">
            <w:pPr>
              <w:spacing w:line="225" w:lineRule="atLeast"/>
              <w:rPr>
                <w:rFonts w:ascii="inherit" w:hAnsi="inherit" w:cs="Arial"/>
                <w:b/>
                <w:bCs/>
                <w:color w:val="454545"/>
                <w:sz w:val="17"/>
                <w:szCs w:val="17"/>
              </w:rPr>
            </w:pPr>
            <w:r>
              <w:rPr>
                <w:rFonts w:ascii="inherit" w:hAnsi="inherit" w:cs="Arial"/>
                <w:b/>
                <w:bCs/>
                <w:color w:val="454545"/>
                <w:sz w:val="17"/>
                <w:szCs w:val="17"/>
              </w:rPr>
              <w:t xml:space="preserve">Ad </w:t>
            </w:r>
            <w:proofErr w:type="spellStart"/>
            <w:r>
              <w:rPr>
                <w:rFonts w:ascii="inherit" w:hAnsi="inherit" w:cs="Arial"/>
                <w:b/>
                <w:bCs/>
                <w:color w:val="454545"/>
                <w:sz w:val="17"/>
                <w:szCs w:val="17"/>
              </w:rPr>
              <w:t>Soyad</w:t>
            </w:r>
            <w:proofErr w:type="spellEnd"/>
          </w:p>
        </w:tc>
        <w:tc>
          <w:tcPr>
            <w:tcW w:w="0" w:type="auto"/>
            <w:tcBorders>
              <w:top w:val="nil"/>
              <w:left w:val="nil"/>
              <w:bottom w:val="nil"/>
              <w:right w:val="nil"/>
            </w:tcBorders>
            <w:shd w:val="clear" w:color="auto" w:fill="FCC30A"/>
            <w:tcMar>
              <w:top w:w="150" w:type="dxa"/>
              <w:left w:w="150" w:type="dxa"/>
              <w:bottom w:w="150" w:type="dxa"/>
              <w:right w:w="150" w:type="dxa"/>
            </w:tcMar>
            <w:vAlign w:val="bottom"/>
            <w:hideMark/>
          </w:tcPr>
          <w:p w:rsidR="009D767D" w:rsidRDefault="009D767D" w:rsidP="00B71B8D">
            <w:pPr>
              <w:spacing w:line="225" w:lineRule="atLeast"/>
              <w:rPr>
                <w:rFonts w:ascii="inherit" w:hAnsi="inherit" w:cs="Arial"/>
                <w:b/>
                <w:bCs/>
                <w:color w:val="454545"/>
                <w:sz w:val="17"/>
                <w:szCs w:val="17"/>
              </w:rPr>
            </w:pPr>
            <w:r>
              <w:rPr>
                <w:rFonts w:ascii="inherit" w:hAnsi="inherit" w:cs="Arial"/>
                <w:b/>
                <w:bCs/>
                <w:color w:val="454545"/>
                <w:sz w:val="17"/>
                <w:szCs w:val="17"/>
              </w:rPr>
              <w:t>Sonuç</w:t>
            </w:r>
          </w:p>
        </w:tc>
      </w:tr>
      <w:tr w:rsidR="009D767D" w:rsidTr="009D767D">
        <w:trPr>
          <w:trHeight w:val="220"/>
          <w:tblCellSpacing w:w="15" w:type="dxa"/>
        </w:trPr>
        <w:tc>
          <w:tcPr>
            <w:tcW w:w="1337" w:type="dxa"/>
            <w:tcBorders>
              <w:top w:val="nil"/>
              <w:left w:val="nil"/>
              <w:bottom w:val="nil"/>
              <w:right w:val="nil"/>
            </w:tcBorders>
            <w:shd w:val="clear" w:color="auto" w:fill="E5E5E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1.</w:t>
            </w:r>
          </w:p>
        </w:tc>
        <w:tc>
          <w:tcPr>
            <w:tcW w:w="5052" w:type="dxa"/>
            <w:tcBorders>
              <w:top w:val="nil"/>
              <w:left w:val="nil"/>
              <w:bottom w:val="nil"/>
              <w:right w:val="nil"/>
            </w:tcBorders>
            <w:shd w:val="clear" w:color="auto" w:fill="E5E5E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MERVE KURT</w:t>
            </w:r>
          </w:p>
        </w:tc>
        <w:tc>
          <w:tcPr>
            <w:tcW w:w="0" w:type="auto"/>
            <w:tcBorders>
              <w:top w:val="nil"/>
              <w:left w:val="nil"/>
              <w:bottom w:val="nil"/>
              <w:right w:val="nil"/>
            </w:tcBorders>
            <w:shd w:val="clear" w:color="auto" w:fill="E5E5E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Asil</w:t>
            </w:r>
          </w:p>
        </w:tc>
      </w:tr>
      <w:tr w:rsidR="009D767D" w:rsidTr="009D767D">
        <w:trPr>
          <w:trHeight w:val="220"/>
          <w:tblCellSpacing w:w="15" w:type="dxa"/>
        </w:trPr>
        <w:tc>
          <w:tcPr>
            <w:tcW w:w="1337" w:type="dxa"/>
            <w:tcBorders>
              <w:top w:val="nil"/>
              <w:left w:val="nil"/>
              <w:bottom w:val="nil"/>
              <w:right w:val="nil"/>
            </w:tcBorders>
            <w:shd w:val="clear" w:color="auto" w:fill="F5F5F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2.</w:t>
            </w:r>
          </w:p>
        </w:tc>
        <w:tc>
          <w:tcPr>
            <w:tcW w:w="5052" w:type="dxa"/>
            <w:tcBorders>
              <w:top w:val="nil"/>
              <w:left w:val="nil"/>
              <w:bottom w:val="nil"/>
              <w:right w:val="nil"/>
            </w:tcBorders>
            <w:shd w:val="clear" w:color="auto" w:fill="F5F5F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BETÜL BAKİ</w:t>
            </w:r>
          </w:p>
        </w:tc>
        <w:tc>
          <w:tcPr>
            <w:tcW w:w="0" w:type="auto"/>
            <w:tcBorders>
              <w:top w:val="nil"/>
              <w:left w:val="nil"/>
              <w:bottom w:val="nil"/>
              <w:right w:val="nil"/>
            </w:tcBorders>
            <w:shd w:val="clear" w:color="auto" w:fill="F5F5F5"/>
            <w:tcMar>
              <w:top w:w="90" w:type="dxa"/>
              <w:left w:w="150" w:type="dxa"/>
              <w:bottom w:w="90" w:type="dxa"/>
              <w:right w:w="150" w:type="dxa"/>
            </w:tcMar>
            <w:hideMark/>
          </w:tcPr>
          <w:p w:rsidR="009D767D" w:rsidRDefault="009D767D" w:rsidP="00B71B8D">
            <w:pPr>
              <w:spacing w:line="225" w:lineRule="atLeast"/>
              <w:rPr>
                <w:rFonts w:ascii="inherit" w:hAnsi="inherit" w:cs="Arial"/>
                <w:color w:val="464748"/>
                <w:sz w:val="17"/>
                <w:szCs w:val="17"/>
              </w:rPr>
            </w:pPr>
            <w:r>
              <w:rPr>
                <w:rFonts w:ascii="inherit" w:hAnsi="inherit" w:cs="Arial"/>
                <w:color w:val="464748"/>
                <w:sz w:val="17"/>
                <w:szCs w:val="17"/>
              </w:rPr>
              <w:t>Yedek</w:t>
            </w:r>
          </w:p>
        </w:tc>
      </w:tr>
    </w:tbl>
    <w:p w:rsidR="009D767D" w:rsidRDefault="009D767D" w:rsidP="00690E7A">
      <w:pPr>
        <w:spacing w:before="100" w:beforeAutospacing="1" w:after="100" w:afterAutospacing="1" w:line="240" w:lineRule="atLeast"/>
        <w:jc w:val="both"/>
        <w:rPr>
          <w:color w:val="000000"/>
        </w:rPr>
      </w:pPr>
    </w:p>
    <w:p w:rsidR="00690E7A" w:rsidRDefault="00690E7A"/>
    <w:p w:rsidR="00690E7A" w:rsidRDefault="00690E7A"/>
    <w:p w:rsidR="00690E7A" w:rsidRPr="002A0C68" w:rsidRDefault="00690E7A" w:rsidP="00690E7A">
      <w:pPr>
        <w:spacing w:before="100" w:beforeAutospacing="1" w:after="100" w:afterAutospacing="1" w:line="240" w:lineRule="atLeast"/>
        <w:jc w:val="both"/>
        <w:rPr>
          <w:color w:val="000000"/>
        </w:rPr>
      </w:pPr>
    </w:p>
    <w:p w:rsidR="00690E7A" w:rsidRDefault="00690E7A"/>
    <w:sectPr w:rsidR="00690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7A"/>
    <w:rsid w:val="000F118E"/>
    <w:rsid w:val="004348C7"/>
    <w:rsid w:val="00690E7A"/>
    <w:rsid w:val="00717E54"/>
    <w:rsid w:val="009D76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7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E7A"/>
    <w:rPr>
      <w:rFonts w:ascii="Tahoma" w:hAnsi="Tahoma" w:cs="Tahoma"/>
      <w:sz w:val="16"/>
      <w:szCs w:val="16"/>
    </w:rPr>
  </w:style>
  <w:style w:type="character" w:customStyle="1" w:styleId="BalloonTextChar">
    <w:name w:val="Balloon Text Char"/>
    <w:basedOn w:val="DefaultParagraphFont"/>
    <w:link w:val="BalloonText"/>
    <w:uiPriority w:val="99"/>
    <w:semiHidden/>
    <w:rsid w:val="00690E7A"/>
    <w:rPr>
      <w:rFonts w:ascii="Tahoma" w:eastAsia="Times New Roman" w:hAnsi="Tahoma" w:cs="Tahoma"/>
      <w:sz w:val="16"/>
      <w:szCs w:val="16"/>
      <w:lang w:eastAsia="tr-TR"/>
    </w:rPr>
  </w:style>
  <w:style w:type="character" w:styleId="Strong">
    <w:name w:val="Strong"/>
    <w:basedOn w:val="DefaultParagraphFont"/>
    <w:uiPriority w:val="22"/>
    <w:qFormat/>
    <w:rsid w:val="00690E7A"/>
    <w:rPr>
      <w:b/>
      <w:bCs/>
    </w:rPr>
  </w:style>
  <w:style w:type="paragraph" w:styleId="NormalWeb">
    <w:name w:val="Normal (Web)"/>
    <w:basedOn w:val="Normal"/>
    <w:uiPriority w:val="99"/>
    <w:semiHidden/>
    <w:unhideWhenUsed/>
    <w:rsid w:val="009D767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7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E7A"/>
    <w:rPr>
      <w:rFonts w:ascii="Tahoma" w:hAnsi="Tahoma" w:cs="Tahoma"/>
      <w:sz w:val="16"/>
      <w:szCs w:val="16"/>
    </w:rPr>
  </w:style>
  <w:style w:type="character" w:customStyle="1" w:styleId="BalloonTextChar">
    <w:name w:val="Balloon Text Char"/>
    <w:basedOn w:val="DefaultParagraphFont"/>
    <w:link w:val="BalloonText"/>
    <w:uiPriority w:val="99"/>
    <w:semiHidden/>
    <w:rsid w:val="00690E7A"/>
    <w:rPr>
      <w:rFonts w:ascii="Tahoma" w:eastAsia="Times New Roman" w:hAnsi="Tahoma" w:cs="Tahoma"/>
      <w:sz w:val="16"/>
      <w:szCs w:val="16"/>
      <w:lang w:eastAsia="tr-TR"/>
    </w:rPr>
  </w:style>
  <w:style w:type="character" w:styleId="Strong">
    <w:name w:val="Strong"/>
    <w:basedOn w:val="DefaultParagraphFont"/>
    <w:uiPriority w:val="22"/>
    <w:qFormat/>
    <w:rsid w:val="00690E7A"/>
    <w:rPr>
      <w:b/>
      <w:bCs/>
    </w:rPr>
  </w:style>
  <w:style w:type="paragraph" w:styleId="NormalWeb">
    <w:name w:val="Normal (Web)"/>
    <w:basedOn w:val="Normal"/>
    <w:uiPriority w:val="99"/>
    <w:semiHidden/>
    <w:unhideWhenUsed/>
    <w:rsid w:val="009D76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5431">
      <w:bodyDiv w:val="1"/>
      <w:marLeft w:val="0"/>
      <w:marRight w:val="0"/>
      <w:marTop w:val="0"/>
      <w:marBottom w:val="0"/>
      <w:divBdr>
        <w:top w:val="none" w:sz="0" w:space="0" w:color="auto"/>
        <w:left w:val="none" w:sz="0" w:space="0" w:color="auto"/>
        <w:bottom w:val="none" w:sz="0" w:space="0" w:color="auto"/>
        <w:right w:val="none" w:sz="0" w:space="0" w:color="auto"/>
      </w:divBdr>
    </w:div>
    <w:div w:id="12316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Macintosh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OZKESKINLER</dc:creator>
  <cp:lastModifiedBy>Aysegul Bayraktaroglu Guner</cp:lastModifiedBy>
  <cp:revision>2</cp:revision>
  <dcterms:created xsi:type="dcterms:W3CDTF">2016-05-24T13:10:00Z</dcterms:created>
  <dcterms:modified xsi:type="dcterms:W3CDTF">2016-05-24T13:10:00Z</dcterms:modified>
</cp:coreProperties>
</file>